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F526F0">
                    <w:rPr>
                      <w:rFonts w:ascii="Times New Roman" w:eastAsia="Times New Roman" w:hAnsi="Times New Roman" w:cs="Times New Roman"/>
                      <w:sz w:val="28"/>
                      <w:szCs w:val="26"/>
                      <w:lang w:eastAsia="ru-RU"/>
                    </w:rPr>
                    <w:t>29.09</w:t>
                  </w:r>
                  <w:r w:rsidR="002A041C">
                    <w:rPr>
                      <w:rFonts w:ascii="Times New Roman" w:eastAsia="Times New Roman" w:hAnsi="Times New Roman" w:cs="Times New Roman"/>
                      <w:sz w:val="28"/>
                      <w:szCs w:val="26"/>
                      <w:lang w:eastAsia="ru-RU"/>
                    </w:rPr>
                    <w:t>.2025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F526F0">
                    <w:rPr>
                      <w:rFonts w:ascii="Times New Roman" w:eastAsia="Times New Roman" w:hAnsi="Times New Roman" w:cs="Times New Roman"/>
                      <w:sz w:val="28"/>
                      <w:szCs w:val="26"/>
                      <w:lang w:eastAsia="ru-RU"/>
                    </w:rPr>
                    <w:t>313</w:t>
                  </w:r>
                  <w:r w:rsidR="00E96E34" w:rsidRPr="008B27FE">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E4985">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E4985" w:rsidRPr="003E4985" w:rsidRDefault="008D498B" w:rsidP="003E4985">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xml:space="preserve">, являющихся объектами культурного наследия, </w:t>
      </w:r>
      <w:r w:rsidR="003E4985" w:rsidRPr="003E4985">
        <w:rPr>
          <w:rFonts w:ascii="Times New Roman" w:hAnsi="Times New Roman" w:cs="Times New Roman"/>
          <w:b/>
          <w:bCs/>
          <w:sz w:val="28"/>
          <w:szCs w:val="28"/>
        </w:rPr>
        <w:t xml:space="preserve">в случае, предусмотренном </w:t>
      </w:r>
      <w:hyperlink r:id="rId8" w:history="1">
        <w:r w:rsidR="003E4985" w:rsidRPr="003E4985">
          <w:rPr>
            <w:rFonts w:ascii="Times New Roman" w:hAnsi="Times New Roman" w:cs="Times New Roman"/>
            <w:b/>
            <w:bCs/>
            <w:sz w:val="28"/>
            <w:szCs w:val="28"/>
          </w:rPr>
          <w:t>пунктом 4 статьи 56.1</w:t>
        </w:r>
      </w:hyperlink>
      <w:r w:rsidR="003E4985">
        <w:rPr>
          <w:rFonts w:ascii="Times New Roman" w:hAnsi="Times New Roman" w:cs="Times New Roman"/>
          <w:b/>
          <w:bCs/>
          <w:sz w:val="28"/>
          <w:szCs w:val="28"/>
        </w:rPr>
        <w:t xml:space="preserve"> Федерального закона «</w:t>
      </w:r>
      <w:r w:rsidR="003E4985" w:rsidRPr="003E4985">
        <w:rPr>
          <w:rFonts w:ascii="Times New Roman" w:hAnsi="Times New Roman" w:cs="Times New Roman"/>
          <w:b/>
          <w:bCs/>
          <w:sz w:val="28"/>
          <w:szCs w:val="28"/>
        </w:rPr>
        <w:t>Об объектах культурного наследия (памятниках истории и культуры</w:t>
      </w:r>
      <w:r w:rsidR="003E4985">
        <w:rPr>
          <w:rFonts w:ascii="Times New Roman" w:hAnsi="Times New Roman" w:cs="Times New Roman"/>
          <w:b/>
          <w:bCs/>
          <w:sz w:val="28"/>
          <w:szCs w:val="28"/>
        </w:rPr>
        <w:t>) народов Российской Федерации»</w:t>
      </w:r>
    </w:p>
    <w:p w:rsidR="002C10CF" w:rsidRPr="00957BB2" w:rsidRDefault="002C10CF" w:rsidP="003E4985">
      <w:pPr>
        <w:autoSpaceDE w:val="0"/>
        <w:autoSpaceDN w:val="0"/>
        <w:adjustRightInd w:val="0"/>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F526F0">
        <w:rPr>
          <w:rFonts w:ascii="Times New Roman" w:hAnsi="Times New Roman"/>
          <w:bCs/>
          <w:sz w:val="28"/>
          <w:szCs w:val="28"/>
        </w:rPr>
        <w:t>29.09</w:t>
      </w:r>
      <w:r w:rsidR="002A041C">
        <w:rPr>
          <w:rFonts w:ascii="Times New Roman" w:hAnsi="Times New Roman"/>
          <w:bCs/>
          <w:sz w:val="28"/>
          <w:szCs w:val="28"/>
        </w:rPr>
        <w:t>.2025</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0D1552">
        <w:rPr>
          <w:rFonts w:ascii="Times New Roman" w:hAnsi="Times New Roman"/>
          <w:bCs/>
          <w:sz w:val="28"/>
          <w:szCs w:val="28"/>
        </w:rPr>
        <w:t>32</w:t>
      </w:r>
      <w:r w:rsidR="00065F24" w:rsidRPr="00FE4467">
        <w:rPr>
          <w:rFonts w:ascii="Times New Roman" w:hAnsi="Times New Roman"/>
          <w:bCs/>
          <w:sz w:val="28"/>
          <w:szCs w:val="28"/>
        </w:rPr>
        <w:t>-б.</w:t>
      </w:r>
    </w:p>
    <w:p w:rsidR="002F7C06" w:rsidRPr="0068110A" w:rsidRDefault="0079517A" w:rsidP="006811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r w:rsidR="001F1721" w:rsidRPr="00FE4467">
        <w:rPr>
          <w:rFonts w:ascii="Times New Roman" w:hAnsi="Times New Roman"/>
          <w:bCs/>
          <w:sz w:val="28"/>
          <w:szCs w:val="28"/>
        </w:rPr>
        <w:t xml:space="preserve">Включение </w:t>
      </w:r>
      <w:r w:rsidR="0068110A">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 xml:space="preserve">оказание услуг </w:t>
      </w:r>
      <w:r w:rsidR="00720972">
        <w:rPr>
          <w:rFonts w:ascii="Times New Roman" w:hAnsi="Times New Roman"/>
          <w:bCs/>
          <w:sz w:val="28"/>
          <w:szCs w:val="28"/>
        </w:rPr>
        <w:br/>
      </w:r>
      <w:r w:rsidR="007B0106" w:rsidRPr="00FE4467">
        <w:rPr>
          <w:rFonts w:ascii="Times New Roman" w:hAnsi="Times New Roman"/>
          <w:bCs/>
          <w:sz w:val="28"/>
          <w:szCs w:val="28"/>
        </w:rPr>
        <w:t>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 xml:space="preserve">объектами культурного наследия, </w:t>
      </w:r>
      <w:r w:rsidR="0068110A" w:rsidRPr="0068110A">
        <w:rPr>
          <w:rFonts w:ascii="Times New Roman" w:hAnsi="Times New Roman" w:cs="Times New Roman"/>
          <w:sz w:val="28"/>
          <w:szCs w:val="28"/>
        </w:rPr>
        <w:t xml:space="preserve">в случае, предусмотренном </w:t>
      </w:r>
      <w:hyperlink r:id="rId9" w:history="1">
        <w:r w:rsidR="0068110A" w:rsidRPr="0068110A">
          <w:rPr>
            <w:rFonts w:ascii="Times New Roman" w:hAnsi="Times New Roman" w:cs="Times New Roman"/>
            <w:sz w:val="28"/>
            <w:szCs w:val="28"/>
          </w:rPr>
          <w:t>пунктом 4 статьи 56.1</w:t>
        </w:r>
      </w:hyperlink>
      <w:r w:rsidR="0068110A">
        <w:rPr>
          <w:rFonts w:ascii="Times New Roman" w:hAnsi="Times New Roman" w:cs="Times New Roman"/>
          <w:sz w:val="28"/>
          <w:szCs w:val="28"/>
        </w:rPr>
        <w:t xml:space="preserve"> Федерального закона «</w:t>
      </w:r>
      <w:r w:rsidR="0068110A" w:rsidRPr="0068110A">
        <w:rPr>
          <w:rFonts w:ascii="Times New Roman" w:hAnsi="Times New Roman" w:cs="Times New Roman"/>
          <w:sz w:val="28"/>
          <w:szCs w:val="28"/>
        </w:rPr>
        <w:t>Об объектах культурного наследия (памятниках истории и культур</w:t>
      </w:r>
      <w:r w:rsidR="0068110A">
        <w:rPr>
          <w:rFonts w:ascii="Times New Roman" w:hAnsi="Times New Roman" w:cs="Times New Roman"/>
          <w:sz w:val="28"/>
          <w:szCs w:val="28"/>
        </w:rPr>
        <w:t>ы) народов Российской Федерации»</w:t>
      </w:r>
      <w:r w:rsidR="00F10ADA">
        <w:rPr>
          <w:rFonts w:ascii="Times New Roman" w:hAnsi="Times New Roman" w:cs="Times New Roman"/>
          <w:sz w:val="28"/>
          <w:szCs w:val="28"/>
        </w:rPr>
        <w:t>.</w:t>
      </w:r>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7D2121" w:rsidP="00F42CFD">
      <w:pPr>
        <w:pStyle w:val="afc"/>
        <w:ind w:left="426"/>
        <w:jc w:val="both"/>
        <w:rPr>
          <w:rFonts w:ascii="Times New Roman" w:eastAsia="Calibri" w:hAnsi="Times New Roman" w:cs="Times New Roman"/>
          <w:sz w:val="28"/>
          <w:szCs w:val="28"/>
          <w:u w:val="single"/>
          <w:lang w:val="en-US"/>
        </w:rPr>
      </w:pPr>
      <w:r w:rsidRPr="00F42CFD">
        <w:rPr>
          <w:rFonts w:ascii="Times New Roman" w:hAnsi="Times New Roman" w:cs="Times New Roman"/>
          <w:bCs/>
          <w:sz w:val="28"/>
          <w:szCs w:val="28"/>
          <w:lang w:val="en-US"/>
        </w:rPr>
        <w:t>E-mail</w:t>
      </w:r>
      <w:r w:rsidR="00FE4467"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7D2121"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E-mail</w:t>
      </w:r>
      <w:r w:rsidR="001A64DD" w:rsidRPr="00EB7A9A">
        <w:rPr>
          <w:rFonts w:ascii="Times New Roman" w:hAnsi="Times New Roman" w:cs="Times New Roman"/>
          <w:bCs/>
          <w:sz w:val="28"/>
          <w:szCs w:val="28"/>
          <w:lang w:val="en-US"/>
        </w:rPr>
        <w:t xml:space="preserve">: </w:t>
      </w:r>
      <w:hyperlink r:id="rId11" w:history="1">
        <w:r w:rsidR="001A64DD" w:rsidRPr="00957BB2">
          <w:rPr>
            <w:rStyle w:val="a5"/>
            <w:rFonts w:ascii="Times New Roman" w:hAnsi="Times New Roman" w:cs="Times New Roman"/>
            <w:color w:val="auto"/>
            <w:sz w:val="28"/>
            <w:szCs w:val="28"/>
            <w:lang w:val="en-US"/>
          </w:rPr>
          <w:t>fkremont</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admin</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smolensk</w:t>
        </w:r>
        <w:r w:rsidR="001A64DD" w:rsidRPr="00EB7A9A">
          <w:rPr>
            <w:rStyle w:val="a5"/>
            <w:rFonts w:ascii="Times New Roman" w:hAnsi="Times New Roman" w:cs="Times New Roman"/>
            <w:color w:val="auto"/>
            <w:sz w:val="28"/>
            <w:szCs w:val="28"/>
            <w:lang w:val="en-US"/>
          </w:rPr>
          <w:t>.</w:t>
        </w:r>
        <w:r w:rsidR="001A64DD"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2"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F526F0"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«30» сентября</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9A220B"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«24</w:t>
      </w:r>
      <w:r w:rsidR="00F526F0">
        <w:rPr>
          <w:rFonts w:ascii="Times New Roman" w:hAnsi="Times New Roman"/>
          <w:bCs/>
          <w:sz w:val="28"/>
          <w:szCs w:val="28"/>
        </w:rPr>
        <w:t>» октября</w:t>
      </w:r>
      <w:r w:rsidR="00556C71">
        <w:rPr>
          <w:rFonts w:ascii="Times New Roman" w:hAnsi="Times New Roman"/>
          <w:bCs/>
          <w:sz w:val="28"/>
          <w:szCs w:val="28"/>
        </w:rPr>
        <w:t xml:space="preserve"> 2025</w:t>
      </w:r>
      <w:r w:rsidR="00FE4467"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9A220B">
        <w:rPr>
          <w:rFonts w:ascii="Times New Roman" w:hAnsi="Times New Roman"/>
          <w:bCs/>
          <w:sz w:val="28"/>
          <w:szCs w:val="28"/>
        </w:rPr>
        <w:t>06</w:t>
      </w:r>
      <w:bookmarkStart w:id="0" w:name="_GoBack"/>
      <w:bookmarkEnd w:id="0"/>
      <w:r w:rsidR="00F526F0">
        <w:rPr>
          <w:rFonts w:ascii="Times New Roman" w:hAnsi="Times New Roman"/>
          <w:bCs/>
          <w:sz w:val="28"/>
          <w:szCs w:val="28"/>
        </w:rPr>
        <w:t>» ноября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Смоленск, ул. Кловская, д. 13, каб.</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00F526F0">
              <w:rPr>
                <w:sz w:val="24"/>
                <w:szCs w:val="24"/>
              </w:rPr>
              <w:t>73-ФЗ «</w:t>
            </w:r>
            <w:r w:rsidRPr="00030C34">
              <w:rPr>
                <w:sz w:val="24"/>
                <w:szCs w:val="24"/>
              </w:rPr>
              <w:t>Об объектах культурного наследия (памятниках истории и культур</w:t>
            </w:r>
            <w:r w:rsidR="00F526F0">
              <w:rPr>
                <w:sz w:val="24"/>
                <w:szCs w:val="24"/>
              </w:rPr>
              <w:t>ы) народов Российской Федерации»</w:t>
            </w:r>
            <w:r w:rsidRPr="00030C34">
              <w:rPr>
                <w:sz w:val="24"/>
                <w:szCs w:val="24"/>
              </w:rPr>
              <w:t xml:space="preserve">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 xml:space="preserve">184-ФЗ </w:t>
            </w:r>
            <w:r w:rsidR="00F526F0">
              <w:rPr>
                <w:rFonts w:ascii="Times New Roman" w:eastAsia="Calibri" w:hAnsi="Times New Roman" w:cs="Times New Roman"/>
                <w:sz w:val="24"/>
                <w:szCs w:val="24"/>
              </w:rPr>
              <w:br/>
            </w:r>
            <w:r w:rsidRPr="00030C34">
              <w:rPr>
                <w:rFonts w:ascii="Times New Roman" w:eastAsia="Calibri" w:hAnsi="Times New Roman" w:cs="Times New Roman"/>
                <w:sz w:val="24"/>
                <w:szCs w:val="24"/>
              </w:rPr>
              <w:t>«О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3" w:history="1">
              <w:r w:rsidRPr="00030C34">
                <w:rPr>
                  <w:rFonts w:ascii="Times New Roman" w:eastAsia="Calibri" w:hAnsi="Times New Roman" w:cs="Times New Roman"/>
                  <w:sz w:val="24"/>
                  <w:szCs w:val="24"/>
                </w:rPr>
                <w:t xml:space="preserve">Федеральный закон </w:t>
              </w:r>
              <w:r w:rsidR="00F526F0">
                <w:rPr>
                  <w:rFonts w:ascii="Times New Roman" w:eastAsia="Calibri" w:hAnsi="Times New Roman" w:cs="Times New Roman"/>
                  <w:sz w:val="24"/>
                  <w:szCs w:val="24"/>
                </w:rPr>
                <w:t xml:space="preserve">РФ </w:t>
              </w:r>
              <w:r w:rsidRPr="00030C34">
                <w:rPr>
                  <w:rFonts w:ascii="Times New Roman" w:eastAsia="Calibri" w:hAnsi="Times New Roman" w:cs="Times New Roman"/>
                  <w:sz w:val="24"/>
                  <w:szCs w:val="24"/>
                </w:rPr>
                <w:t>от 30.12.2009 г.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4" w:history="1">
              <w:r w:rsidRPr="00030C34">
                <w:rPr>
                  <w:rFonts w:ascii="Times New Roman" w:eastAsia="Calibri" w:hAnsi="Times New Roman" w:cs="Times New Roman"/>
                  <w:sz w:val="24"/>
                  <w:szCs w:val="24"/>
                </w:rPr>
                <w:t xml:space="preserve">Федеральный закон </w:t>
              </w:r>
              <w:r w:rsidR="00F526F0">
                <w:rPr>
                  <w:rFonts w:ascii="Times New Roman" w:eastAsia="Calibri" w:hAnsi="Times New Roman" w:cs="Times New Roman"/>
                  <w:sz w:val="24"/>
                  <w:szCs w:val="24"/>
                </w:rPr>
                <w:t xml:space="preserve">РФ </w:t>
              </w:r>
              <w:r w:rsidRPr="00030C34">
                <w:rPr>
                  <w:rFonts w:ascii="Times New Roman" w:eastAsia="Calibri" w:hAnsi="Times New Roman" w:cs="Times New Roman"/>
                  <w:sz w:val="24"/>
                  <w:szCs w:val="24"/>
                </w:rPr>
                <w:t>от 23.11.2009 г.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 xml:space="preserve">87 от 16.02.2008 г. </w:t>
            </w:r>
            <w:r w:rsidR="00F526F0">
              <w:rPr>
                <w:rFonts w:ascii="Times New Roman" w:eastAsia="Calibri" w:hAnsi="Times New Roman" w:cs="Times New Roman"/>
                <w:sz w:val="24"/>
                <w:szCs w:val="24"/>
              </w:rPr>
              <w:br/>
            </w:r>
            <w:r w:rsidRPr="00030C34">
              <w:rPr>
                <w:rFonts w:ascii="Times New Roman" w:eastAsia="Calibri" w:hAnsi="Times New Roman" w:cs="Times New Roman"/>
                <w:sz w:val="24"/>
                <w:szCs w:val="24"/>
              </w:rPr>
              <w:t>«О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Приказ</w:t>
            </w:r>
            <w:r w:rsidR="00F526F0">
              <w:rPr>
                <w:rFonts w:ascii="Times New Roman" w:eastAsia="SimSun" w:hAnsi="Times New Roman" w:cs="Times New Roman"/>
                <w:kern w:val="3"/>
                <w:sz w:val="24"/>
                <w:szCs w:val="24"/>
                <w:lang w:eastAsia="zh-CN" w:bidi="hi-IN"/>
              </w:rPr>
              <w:t xml:space="preserve"> Минэнерго РФ от 12.08.2022 г. №</w:t>
            </w:r>
            <w:r w:rsidRPr="00030C34">
              <w:rPr>
                <w:rFonts w:ascii="Times New Roman" w:eastAsia="SimSun" w:hAnsi="Times New Roman" w:cs="Times New Roman"/>
                <w:kern w:val="3"/>
                <w:sz w:val="24"/>
                <w:szCs w:val="24"/>
                <w:lang w:eastAsia="zh-CN" w:bidi="hi-IN"/>
              </w:rPr>
              <w:t xml:space="preserve"> 811 «Об утверждении правил технической эксплуатации электроустановок потребителей электрической энергии»;</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w:t>
            </w:r>
            <w:r w:rsidR="00F526F0">
              <w:rPr>
                <w:rFonts w:ascii="Times New Roman" w:hAnsi="Times New Roman" w:cs="Times New Roman"/>
                <w:sz w:val="24"/>
                <w:szCs w:val="24"/>
              </w:rPr>
              <w:t> </w:t>
            </w:r>
            <w:r w:rsidRPr="00030C34">
              <w:rPr>
                <w:rFonts w:ascii="Times New Roman" w:hAnsi="Times New Roman" w:cs="Times New Roman"/>
                <w:sz w:val="24"/>
                <w:szCs w:val="24"/>
              </w:rPr>
              <w:t xml:space="preserve">1034 </w:t>
            </w:r>
            <w:r w:rsidR="00F526F0">
              <w:rPr>
                <w:rFonts w:ascii="Times New Roman" w:hAnsi="Times New Roman" w:cs="Times New Roman"/>
                <w:sz w:val="24"/>
                <w:szCs w:val="24"/>
              </w:rPr>
              <w:br/>
            </w:r>
            <w:r w:rsidRPr="00030C34">
              <w:rPr>
                <w:rFonts w:ascii="Times New Roman" w:hAnsi="Times New Roman" w:cs="Times New Roman"/>
                <w:sz w:val="24"/>
                <w:szCs w:val="24"/>
              </w:rPr>
              <w:t>«О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w:t>
            </w:r>
            <w:r w:rsidR="00F526F0">
              <w:rPr>
                <w:rFonts w:ascii="Times New Roman" w:eastAsia="Calibri" w:hAnsi="Times New Roman" w:cs="Times New Roman"/>
                <w:sz w:val="24"/>
                <w:szCs w:val="24"/>
              </w:rPr>
              <w:t> </w:t>
            </w:r>
            <w:r w:rsidRPr="00030C34">
              <w:rPr>
                <w:rFonts w:ascii="Times New Roman" w:eastAsia="Calibri" w:hAnsi="Times New Roman" w:cs="Times New Roman"/>
                <w:sz w:val="24"/>
                <w:szCs w:val="24"/>
              </w:rPr>
              <w:t>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w:t>
            </w:r>
            <w:r w:rsidR="00F526F0">
              <w:rPr>
                <w:rFonts w:ascii="Times New Roman" w:eastAsia="Calibri" w:hAnsi="Times New Roman" w:cs="Times New Roman"/>
                <w:sz w:val="24"/>
                <w:szCs w:val="24"/>
              </w:rPr>
              <w:t>ва РФ от 15 июля 2009 г. № 569 «</w:t>
            </w:r>
            <w:r w:rsidRPr="00030C34">
              <w:rPr>
                <w:rFonts w:ascii="Times New Roman" w:eastAsia="Calibri" w:hAnsi="Times New Roman" w:cs="Times New Roman"/>
                <w:sz w:val="24"/>
                <w:szCs w:val="24"/>
              </w:rPr>
              <w:t>Об утверждении Положения о государственной историко-культурно</w:t>
            </w:r>
            <w:r w:rsidR="00F526F0">
              <w:rPr>
                <w:rFonts w:ascii="Times New Roman" w:eastAsia="Calibri" w:hAnsi="Times New Roman" w:cs="Times New Roman"/>
                <w:sz w:val="24"/>
                <w:szCs w:val="24"/>
              </w:rPr>
              <w:t>й экспертизе»</w:t>
            </w:r>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w:t>
            </w:r>
            <w:r w:rsidR="00F526F0">
              <w:rPr>
                <w:rFonts w:ascii="Times New Roman" w:eastAsia="Calibri" w:hAnsi="Times New Roman" w:cs="Times New Roman"/>
                <w:sz w:val="24"/>
                <w:szCs w:val="24"/>
              </w:rPr>
              <w:t>дерации от 13.02.2014 г. № 237 «</w:t>
            </w:r>
            <w:r w:rsidRPr="00030C34">
              <w:rPr>
                <w:rFonts w:ascii="Times New Roman" w:eastAsia="Calibri" w:hAnsi="Times New Roman" w:cs="Times New Roman"/>
                <w:sz w:val="24"/>
                <w:szCs w:val="24"/>
              </w:rPr>
              <w:t>Об утверждении Порядка приемки работ по сохранен</w:t>
            </w:r>
            <w:r w:rsidR="00F526F0">
              <w:rPr>
                <w:rFonts w:ascii="Times New Roman" w:eastAsia="Calibri" w:hAnsi="Times New Roman" w:cs="Times New Roman"/>
                <w:sz w:val="24"/>
                <w:szCs w:val="24"/>
              </w:rPr>
              <w:t>ию объекта культурного наследия»</w:t>
            </w:r>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w:t>
            </w:r>
            <w:r w:rsidR="00F526F0">
              <w:rPr>
                <w:rFonts w:ascii="Times New Roman" w:hAnsi="Times New Roman" w:cs="Times New Roman"/>
                <w:b w:val="0"/>
                <w:bCs w:val="0"/>
                <w:kern w:val="0"/>
                <w:sz w:val="24"/>
                <w:szCs w:val="24"/>
              </w:rPr>
              <w:t>ры России от 05.06.2015 № 1749 «</w:t>
            </w:r>
            <w:r w:rsidRPr="00030C34">
              <w:rPr>
                <w:rFonts w:ascii="Times New Roman" w:hAnsi="Times New Roman" w:cs="Times New Roman"/>
                <w:b w:val="0"/>
                <w:bCs w:val="0"/>
                <w:kern w:val="0"/>
                <w:sz w:val="24"/>
                <w:szCs w:val="24"/>
              </w:rPr>
              <w: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w:t>
            </w:r>
            <w:r w:rsidR="00F526F0">
              <w:rPr>
                <w:rFonts w:ascii="Times New Roman" w:hAnsi="Times New Roman" w:cs="Times New Roman"/>
                <w:b w:val="0"/>
                <w:bCs w:val="0"/>
                <w:kern w:val="0"/>
                <w:sz w:val="24"/>
                <w:szCs w:val="24"/>
              </w:rPr>
              <w:t>го объекта культурного наследия»</w:t>
            </w:r>
            <w:r w:rsidRPr="00030C34">
              <w:rPr>
                <w:rFonts w:ascii="Times New Roman" w:hAnsi="Times New Roman" w:cs="Times New Roman"/>
                <w:b w:val="0"/>
                <w:bCs w:val="0"/>
                <w:kern w:val="0"/>
                <w:sz w:val="24"/>
                <w:szCs w:val="24"/>
              </w:rPr>
              <w:t>;</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w:t>
            </w:r>
            <w:r w:rsidR="00F526F0">
              <w:rPr>
                <w:rFonts w:ascii="Times New Roman" w:hAnsi="Times New Roman" w:cs="Times New Roman"/>
                <w:b w:val="0"/>
                <w:bCs w:val="0"/>
                <w:kern w:val="0"/>
                <w:sz w:val="24"/>
                <w:szCs w:val="24"/>
              </w:rPr>
              <w:t>тельства РФ от 21 июня 2010 г. № 468 «</w:t>
            </w:r>
            <w:r w:rsidRPr="00030C34">
              <w:rPr>
                <w:rFonts w:ascii="Times New Roman" w:hAnsi="Times New Roman" w:cs="Times New Roman"/>
                <w:b w:val="0"/>
                <w:bCs w:val="0"/>
                <w:kern w:val="0"/>
                <w:sz w:val="24"/>
                <w:szCs w:val="24"/>
              </w:rPr>
              <w:t>О порядке проведения строительного контроля при осуществлении строительства, реконструкции и капитального ремонта объе</w:t>
            </w:r>
            <w:r w:rsidR="00F526F0">
              <w:rPr>
                <w:rFonts w:ascii="Times New Roman" w:hAnsi="Times New Roman" w:cs="Times New Roman"/>
                <w:b w:val="0"/>
                <w:bCs w:val="0"/>
                <w:kern w:val="0"/>
                <w:sz w:val="24"/>
                <w:szCs w:val="24"/>
              </w:rPr>
              <w:t>ктов капитального строительства»</w:t>
            </w:r>
            <w:r w:rsidRPr="00030C34">
              <w:rPr>
                <w:rFonts w:ascii="Times New Roman" w:hAnsi="Times New Roman" w:cs="Times New Roman"/>
                <w:b w:val="0"/>
                <w:bCs w:val="0"/>
                <w:kern w:val="0"/>
                <w:sz w:val="24"/>
                <w:szCs w:val="24"/>
              </w:rPr>
              <w:t>;</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F526F0" w:rsidP="00211B9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246.1325800.2016 «</w:t>
            </w:r>
            <w:r w:rsidR="002C785B" w:rsidRPr="00030C34">
              <w:rPr>
                <w:rFonts w:ascii="Times New Roman" w:hAnsi="Times New Roman" w:cs="Times New Roman"/>
                <w:sz w:val="24"/>
                <w:szCs w:val="24"/>
                <w:lang w:eastAsia="ru-RU"/>
              </w:rPr>
              <w:t>Положение об авторском надзоре за стр</w:t>
            </w:r>
            <w:r>
              <w:rPr>
                <w:rFonts w:ascii="Times New Roman" w:hAnsi="Times New Roman" w:cs="Times New Roman"/>
                <w:sz w:val="24"/>
                <w:szCs w:val="24"/>
                <w:lang w:eastAsia="ru-RU"/>
              </w:rPr>
              <w:t>оительством зданий и сооружений»</w:t>
            </w:r>
            <w:r w:rsidR="002C785B" w:rsidRPr="00030C34">
              <w:rPr>
                <w:rFonts w:ascii="Times New Roman" w:hAnsi="Times New Roman" w:cs="Times New Roman"/>
                <w:sz w:val="24"/>
                <w:szCs w:val="24"/>
                <w:lang w:eastAsia="ru-RU"/>
              </w:rPr>
              <w:t>;</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сети газопотребления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1 Скатные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антисептирование и антипирирование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утепление подкровельного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F526F0">
              <w:rPr>
                <w:rFonts w:ascii="Times New Roman" w:hAnsi="Times New Roman" w:cs="Times New Roman"/>
                <w:sz w:val="24"/>
                <w:szCs w:val="24"/>
              </w:rPr>
              <w:t> </w:t>
            </w:r>
            <w:r w:rsidRPr="00030C34">
              <w:rPr>
                <w:rFonts w:ascii="Times New Roman" w:hAnsi="Times New Roman" w:cs="Times New Roman"/>
                <w:sz w:val="24"/>
                <w:szCs w:val="24"/>
              </w:rPr>
              <w:t>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F526F0">
              <w:rPr>
                <w:rFonts w:ascii="Times New Roman" w:hAnsi="Times New Roman" w:cs="Times New Roman"/>
                <w:sz w:val="24"/>
                <w:szCs w:val="24"/>
              </w:rPr>
              <w:t> </w:t>
            </w:r>
            <w:r w:rsidRPr="00030C34">
              <w:rPr>
                <w:rFonts w:ascii="Times New Roman" w:hAnsi="Times New Roman" w:cs="Times New Roman"/>
                <w:sz w:val="24"/>
                <w:szCs w:val="24"/>
              </w:rPr>
              <w:t>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F526F0">
              <w:rPr>
                <w:rFonts w:ascii="Times New Roman" w:hAnsi="Times New Roman" w:cs="Times New Roman"/>
                <w:sz w:val="24"/>
                <w:szCs w:val="24"/>
              </w:rPr>
              <w:t> </w:t>
            </w:r>
            <w:r w:rsidRPr="00030C34">
              <w:rPr>
                <w:rFonts w:ascii="Times New Roman" w:hAnsi="Times New Roman" w:cs="Times New Roman"/>
                <w:sz w:val="24"/>
                <w:szCs w:val="24"/>
              </w:rPr>
              <w:t>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F526F0">
              <w:rPr>
                <w:rFonts w:ascii="Times New Roman" w:hAnsi="Times New Roman" w:cs="Times New Roman"/>
                <w:sz w:val="24"/>
                <w:szCs w:val="24"/>
              </w:rPr>
              <w:t> </w:t>
            </w:r>
            <w:r w:rsidRPr="00030C34">
              <w:rPr>
                <w:rFonts w:ascii="Times New Roman" w:hAnsi="Times New Roman" w:cs="Times New Roman"/>
                <w:sz w:val="24"/>
                <w:szCs w:val="24"/>
              </w:rPr>
              <w:t>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отмостки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 xml:space="preserve">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устройство наружного противонапорного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20972">
        <w:trPr>
          <w:trHeight w:val="2943"/>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утепление подкровельного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20972" w:rsidRDefault="00720972"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720972" w:rsidRDefault="00D96A1F" w:rsidP="00720972">
            <w:pPr>
              <w:autoSpaceDE w:val="0"/>
              <w:autoSpaceDN w:val="0"/>
              <w:adjustRightInd w:val="0"/>
              <w:jc w:val="both"/>
              <w:rPr>
                <w:rFonts w:ascii="Times New Roman" w:hAnsi="Times New Roman" w:cs="Times New Roman"/>
                <w:sz w:val="24"/>
                <w:szCs w:val="24"/>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w:t>
            </w:r>
            <w:r w:rsidR="00783CD0">
              <w:rPr>
                <w:rStyle w:val="a9"/>
                <w:rFonts w:ascii="Times New Roman" w:hAnsi="Times New Roman" w:cs="Times New Roman"/>
                <w:sz w:val="24"/>
                <w:szCs w:val="24"/>
              </w:rPr>
              <w:t>ртирных домов</w:t>
            </w:r>
            <w:r w:rsidRPr="00957BB2">
              <w:rPr>
                <w:rStyle w:val="a9"/>
                <w:rFonts w:ascii="Times New Roman" w:hAnsi="Times New Roman" w:cs="Times New Roman"/>
                <w:sz w:val="24"/>
                <w:szCs w:val="24"/>
              </w:rPr>
              <w:t>, являющихся объектами культурного наследия,</w:t>
            </w:r>
            <w:r w:rsidR="00720972">
              <w:rPr>
                <w:rStyle w:val="a9"/>
                <w:rFonts w:ascii="Times New Roman" w:hAnsi="Times New Roman" w:cs="Times New Roman"/>
                <w:sz w:val="24"/>
                <w:szCs w:val="24"/>
              </w:rPr>
              <w:t xml:space="preserve"> в случае,</w:t>
            </w:r>
            <w:r w:rsidRPr="00957BB2">
              <w:rPr>
                <w:rStyle w:val="a9"/>
                <w:rFonts w:ascii="Times New Roman" w:hAnsi="Times New Roman" w:cs="Times New Roman"/>
                <w:sz w:val="24"/>
                <w:szCs w:val="24"/>
              </w:rPr>
              <w:t xml:space="preserve"> </w:t>
            </w:r>
            <w:r w:rsidR="00720972">
              <w:rPr>
                <w:rFonts w:ascii="Times New Roman" w:hAnsi="Times New Roman" w:cs="Times New Roman"/>
                <w:sz w:val="24"/>
                <w:szCs w:val="24"/>
              </w:rPr>
              <w:t xml:space="preserve">предусмотренном </w:t>
            </w:r>
            <w:hyperlink r:id="rId15" w:history="1">
              <w:r w:rsidR="00720972" w:rsidRPr="00720972">
                <w:rPr>
                  <w:rFonts w:ascii="Times New Roman" w:hAnsi="Times New Roman" w:cs="Times New Roman"/>
                  <w:sz w:val="24"/>
                  <w:szCs w:val="24"/>
                </w:rPr>
                <w:t>пунктом 4 статьи 56.1</w:t>
              </w:r>
            </w:hyperlink>
            <w:r w:rsidR="00720972">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D96A1F" w:rsidRPr="00957BB2" w:rsidRDefault="00D96A1F" w:rsidP="00720972">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w:t>
            </w:r>
            <w:r w:rsidRPr="00957BB2">
              <w:rPr>
                <w:rStyle w:val="a9"/>
                <w:rFonts w:ascii="Times New Roman" w:hAnsi="Times New Roman" w:cs="Times New Roman"/>
                <w:sz w:val="24"/>
                <w:szCs w:val="24"/>
              </w:rPr>
              <w:lastRenderedPageBreak/>
              <w:t>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w:t>
            </w:r>
            <w:r w:rsidRPr="00337AE8">
              <w:rPr>
                <w:rFonts w:ascii="Times New Roman" w:hAnsi="Times New Roman" w:cs="Times New Roman"/>
                <w:sz w:val="24"/>
                <w:szCs w:val="24"/>
              </w:rPr>
              <w:lastRenderedPageBreak/>
              <w:t>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957BB2">
              <w:rPr>
                <w:rFonts w:ascii="Times New Roman" w:hAnsi="Times New Roman" w:cs="Times New Roman"/>
                <w:sz w:val="24"/>
                <w:szCs w:val="24"/>
              </w:rPr>
              <w:lastRenderedPageBreak/>
              <w:t>(или)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720972">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w:t>
            </w:r>
            <w:r w:rsidR="00783CD0">
              <w:rPr>
                <w:rFonts w:ascii="Times New Roman" w:hAnsi="Times New Roman" w:cs="Times New Roman"/>
                <w:sz w:val="24"/>
                <w:szCs w:val="24"/>
              </w:rPr>
              <w:t xml:space="preserve"> </w:t>
            </w:r>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ж)</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з)</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 xml:space="preserve">гаранта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7D2121"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00783CD0">
        <w:rPr>
          <w:rFonts w:ascii="Times New Roman" w:hAnsi="Times New Roman"/>
          <w:b/>
          <w:sz w:val="28"/>
          <w:szCs w:val="28"/>
          <w:u w:val="single"/>
        </w:rPr>
        <w:t xml:space="preserve"> </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83CD0" w:rsidRDefault="00783CD0" w:rsidP="00703EAD">
      <w:pPr>
        <w:pStyle w:val="a4"/>
        <w:tabs>
          <w:tab w:val="left" w:pos="284"/>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D95BF5">
      <w:pPr>
        <w:autoSpaceDE w:val="0"/>
        <w:autoSpaceDN w:val="0"/>
        <w:adjustRightInd w:val="0"/>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оказание услуг и (или) выполнение работ по капитальному ремонту общего</w:t>
      </w:r>
      <w:r w:rsidR="00D95BF5">
        <w:rPr>
          <w:rFonts w:ascii="Times New Roman" w:hAnsi="Times New Roman"/>
          <w:bCs/>
          <w:sz w:val="28"/>
          <w:szCs w:val="28"/>
        </w:rPr>
        <w:t xml:space="preserve"> имущества</w:t>
      </w:r>
      <w:r w:rsidR="00D95BF5" w:rsidRPr="00D95BF5">
        <w:rPr>
          <w:rFonts w:ascii="Times New Roman" w:hAnsi="Times New Roman"/>
          <w:bCs/>
          <w:sz w:val="28"/>
          <w:szCs w:val="28"/>
        </w:rPr>
        <w:t xml:space="preserve"> </w:t>
      </w:r>
      <w:r w:rsidR="00D95BF5" w:rsidRPr="00957BB2">
        <w:rPr>
          <w:rFonts w:ascii="Times New Roman" w:hAnsi="Times New Roman"/>
          <w:bCs/>
          <w:sz w:val="28"/>
          <w:szCs w:val="28"/>
        </w:rPr>
        <w:t xml:space="preserve">многоквартирных домов, являющихся </w:t>
      </w:r>
      <w:r w:rsidR="00D95BF5" w:rsidRPr="00957BB2">
        <w:rPr>
          <w:rFonts w:ascii="Times New Roman" w:hAnsi="Times New Roman" w:cs="Times New Roman"/>
          <w:sz w:val="28"/>
          <w:szCs w:val="28"/>
        </w:rPr>
        <w:t xml:space="preserve">объектами культурного наследия, </w:t>
      </w:r>
      <w:r w:rsidR="00D95BF5" w:rsidRPr="0068110A">
        <w:rPr>
          <w:rFonts w:ascii="Times New Roman" w:hAnsi="Times New Roman" w:cs="Times New Roman"/>
          <w:sz w:val="28"/>
          <w:szCs w:val="28"/>
        </w:rPr>
        <w:t xml:space="preserve">в случае, предусмотренном </w:t>
      </w:r>
      <w:hyperlink r:id="rId16" w:history="1">
        <w:r w:rsidR="00D95BF5" w:rsidRPr="0068110A">
          <w:rPr>
            <w:rFonts w:ascii="Times New Roman" w:hAnsi="Times New Roman" w:cs="Times New Roman"/>
            <w:sz w:val="28"/>
            <w:szCs w:val="28"/>
          </w:rPr>
          <w:t>пунктом 4 статьи 56.1</w:t>
        </w:r>
      </w:hyperlink>
      <w:r w:rsidR="00D95BF5">
        <w:rPr>
          <w:rFonts w:ascii="Times New Roman" w:hAnsi="Times New Roman" w:cs="Times New Roman"/>
          <w:sz w:val="28"/>
          <w:szCs w:val="28"/>
        </w:rPr>
        <w:t xml:space="preserve"> Федерального закона «</w:t>
      </w:r>
      <w:r w:rsidR="00D95BF5" w:rsidRPr="0068110A">
        <w:rPr>
          <w:rFonts w:ascii="Times New Roman" w:hAnsi="Times New Roman" w:cs="Times New Roman"/>
          <w:sz w:val="28"/>
          <w:szCs w:val="28"/>
        </w:rPr>
        <w:t>Об объектах культурного наследия (памятниках истории и культур</w:t>
      </w:r>
      <w:r w:rsidR="00D95BF5">
        <w:rPr>
          <w:rFonts w:ascii="Times New Roman" w:hAnsi="Times New Roman" w:cs="Times New Roman"/>
          <w:sz w:val="28"/>
          <w:szCs w:val="28"/>
        </w:rPr>
        <w:t>ы) народов Российской Федерации»</w:t>
      </w:r>
      <w:r w:rsidR="007368E4" w:rsidRPr="00957BB2">
        <w:rPr>
          <w:rFonts w:ascii="Times New Roman" w:hAnsi="Times New Roman" w:cs="Times New Roman"/>
          <w:sz w:val="28"/>
          <w:szCs w:val="28"/>
        </w:rPr>
        <w:t>,</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1A1C63" w:rsidRDefault="00DD24E1" w:rsidP="001A1C63">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w:t>
      </w:r>
      <w:r w:rsidR="001A1C63">
        <w:rPr>
          <w:rFonts w:ascii="Times New Roman" w:hAnsi="Times New Roman" w:cs="Times New Roman"/>
          <w:sz w:val="28"/>
          <w:szCs w:val="28"/>
        </w:rPr>
        <w:t>ектов капитального строительства;</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Pr="00957BB2">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w:t>
      </w:r>
      <w:r w:rsidR="00D225B1" w:rsidRPr="00957BB2">
        <w:rPr>
          <w:rFonts w:ascii="Times New Roman" w:hAnsi="Times New Roman" w:cs="Times New Roman"/>
          <w:sz w:val="28"/>
          <w:szCs w:val="28"/>
        </w:rPr>
        <w:lastRenderedPageBreak/>
        <w:t xml:space="preserve">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м)</w:t>
      </w:r>
      <w:r w:rsidR="00F127F7">
        <w:rPr>
          <w:rFonts w:ascii="Times New Roman" w:hAnsi="Times New Roman" w:cs="Times New Roman"/>
          <w:sz w:val="28"/>
          <w:szCs w:val="28"/>
        </w:rPr>
        <w:t> </w:t>
      </w:r>
      <w:r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7"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lastRenderedPageBreak/>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720972">
        <w:rPr>
          <w:rFonts w:ascii="Times New Roman" w:hAnsi="Times New Roman" w:cs="Times New Roman"/>
          <w:sz w:val="28"/>
          <w:szCs w:val="28"/>
        </w:rPr>
        <w:t xml:space="preserve"> </w:t>
      </w:r>
      <w:r w:rsidRPr="003B0055">
        <w:rPr>
          <w:rFonts w:ascii="Times New Roman" w:hAnsi="Times New Roman" w:cs="Times New Roman"/>
          <w:sz w:val="28"/>
          <w:szCs w:val="28"/>
        </w:rPr>
        <w:t>(трех)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720972">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lastRenderedPageBreak/>
        <w:t xml:space="preserve">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00F526F0">
          <w:rPr>
            <w:rFonts w:ascii="Times New Roman" w:hAnsi="Times New Roman" w:cs="Times New Roman"/>
            <w:sz w:val="28"/>
            <w:szCs w:val="28"/>
          </w:rPr>
          <w:t>подпунктах «</w:t>
        </w:r>
        <w:r w:rsidR="003F1459" w:rsidRPr="00DA4BA1">
          <w:rPr>
            <w:rFonts w:ascii="Times New Roman" w:hAnsi="Times New Roman" w:cs="Times New Roman"/>
            <w:sz w:val="28"/>
            <w:szCs w:val="28"/>
          </w:rPr>
          <w:t>з</w:t>
        </w:r>
        <w:r w:rsidR="00F526F0">
          <w:rPr>
            <w:rFonts w:ascii="Times New Roman" w:hAnsi="Times New Roman" w:cs="Times New Roman"/>
            <w:sz w:val="28"/>
            <w:szCs w:val="28"/>
          </w:rPr>
          <w:t>»</w:t>
        </w:r>
      </w:hyperlink>
      <w:r w:rsidR="00F526F0" w:rsidRPr="00DA4BA1">
        <w:rPr>
          <w:rFonts w:ascii="Times New Roman" w:hAnsi="Times New Roman" w:cs="Times New Roman"/>
          <w:sz w:val="28"/>
          <w:szCs w:val="28"/>
        </w:rPr>
        <w:t xml:space="preserve"> </w:t>
      </w:r>
      <w:r w:rsidR="003F1459" w:rsidRPr="00DA4BA1">
        <w:rPr>
          <w:rFonts w:ascii="Times New Roman" w:hAnsi="Times New Roman" w:cs="Times New Roman"/>
          <w:sz w:val="28"/>
          <w:szCs w:val="28"/>
        </w:rPr>
        <w:t xml:space="preserve">- </w:t>
      </w:r>
      <w:hyperlink r:id="rId19" w:history="1">
        <w:r w:rsidR="00F526F0">
          <w:rPr>
            <w:rFonts w:ascii="Times New Roman" w:hAnsi="Times New Roman" w:cs="Times New Roman"/>
            <w:sz w:val="28"/>
            <w:szCs w:val="28"/>
          </w:rPr>
          <w:t>«к»</w:t>
        </w:r>
        <w:r w:rsidR="003F1459" w:rsidRPr="00DA4BA1">
          <w:rPr>
            <w:rFonts w:ascii="Times New Roman" w:hAnsi="Times New Roman" w:cs="Times New Roman"/>
            <w:sz w:val="28"/>
            <w:szCs w:val="28"/>
          </w:rPr>
          <w:t xml:space="preserve">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w:t>
      </w:r>
      <w:r w:rsidR="00F526F0">
        <w:rPr>
          <w:rFonts w:ascii="Times New Roman" w:hAnsi="Times New Roman" w:cs="Times New Roman"/>
          <w:sz w:val="28"/>
          <w:szCs w:val="28"/>
        </w:rPr>
        <w:t> </w:t>
      </w:r>
      <w:r w:rsidRPr="00DA4BA1">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з)</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lastRenderedPageBreak/>
        <w:t>к</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0"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м)</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1" w:history="1">
        <w:r w:rsidRPr="00AA021B">
          <w:rPr>
            <w:rFonts w:ascii="Times New Roman" w:hAnsi="Times New Roman" w:cs="Times New Roman"/>
            <w:sz w:val="28"/>
            <w:szCs w:val="28"/>
          </w:rPr>
          <w:t>законом</w:t>
        </w:r>
      </w:hyperlink>
      <w:r w:rsidR="00783CD0">
        <w:rPr>
          <w:rFonts w:ascii="Times New Roman" w:hAnsi="Times New Roman" w:cs="Times New Roman"/>
          <w:sz w:val="28"/>
          <w:szCs w:val="28"/>
        </w:rPr>
        <w:t xml:space="preserve"> «О персональных данных»</w:t>
      </w:r>
      <w:r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7D2121" w:rsidRPr="00FE4467">
              <w:rPr>
                <w:rFonts w:ascii="Times New Roman" w:hAnsi="Times New Roman" w:cs="Times New Roman"/>
                <w:sz w:val="28"/>
                <w:szCs w:val="28"/>
              </w:rPr>
              <w:t>90 млн.</w:t>
            </w:r>
            <w:r w:rsidR="001265EA" w:rsidRPr="00FE4467">
              <w:rPr>
                <w:rFonts w:ascii="Times New Roman" w:hAnsi="Times New Roman" w:cs="Times New Roman"/>
                <w:sz w:val="28"/>
                <w:szCs w:val="28"/>
              </w:rPr>
              <w:t xml:space="preserve">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F526F0">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 xml:space="preserve">Запрос должен быть подписан, усиленной неквалифицированной </w:t>
      </w:r>
      <w:r w:rsidR="008240B2" w:rsidRPr="00957BB2">
        <w:rPr>
          <w:rFonts w:ascii="Times New Roman" w:hAnsi="Times New Roman" w:cs="Times New Roman"/>
          <w:sz w:val="28"/>
          <w:szCs w:val="28"/>
        </w:rPr>
        <w:lastRenderedPageBreak/>
        <w:t>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6A0A71">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A0A71">
        <w:rPr>
          <w:rFonts w:ascii="Times New Roman" w:hAnsi="Times New Roman" w:cs="Times New Roman"/>
          <w:sz w:val="28"/>
          <w:szCs w:val="28"/>
        </w:rPr>
        <w:t>.</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 xml:space="preserve">до начала проведения предварительного </w:t>
      </w:r>
      <w:r w:rsidRPr="00F02674">
        <w:rPr>
          <w:rFonts w:ascii="Times New Roman" w:hAnsi="Times New Roman" w:cs="Times New Roman"/>
          <w:sz w:val="28"/>
          <w:szCs w:val="28"/>
        </w:rPr>
        <w:lastRenderedPageBreak/>
        <w:t>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2"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w:t>
      </w:r>
      <w:r w:rsidR="007D2121" w:rsidRPr="00AA021B">
        <w:rPr>
          <w:rFonts w:ascii="Times New Roman" w:hAnsi="Times New Roman" w:cs="Times New Roman"/>
          <w:sz w:val="28"/>
          <w:szCs w:val="28"/>
        </w:rPr>
        <w:t xml:space="preserve">раздела </w:t>
      </w:r>
      <w:r w:rsidR="007D2121">
        <w:rPr>
          <w:rFonts w:ascii="Times New Roman" w:hAnsi="Times New Roman" w:cs="Times New Roman"/>
          <w:sz w:val="28"/>
          <w:szCs w:val="28"/>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w:t>
      </w:r>
      <w:r w:rsidR="007D2121" w:rsidRPr="00AA021B">
        <w:rPr>
          <w:rFonts w:ascii="Times New Roman" w:hAnsi="Times New Roman" w:cs="Times New Roman"/>
          <w:sz w:val="28"/>
          <w:szCs w:val="28"/>
        </w:rPr>
        <w:t>6. настоящего</w:t>
      </w:r>
      <w:r w:rsidR="00E47DDF" w:rsidRPr="00AA021B">
        <w:rPr>
          <w:rFonts w:ascii="Times New Roman" w:hAnsi="Times New Roman" w:cs="Times New Roman"/>
          <w:sz w:val="28"/>
          <w:szCs w:val="28"/>
        </w:rPr>
        <w:t xml:space="preserve">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6A0A71">
        <w:rPr>
          <w:rFonts w:ascii="Times New Roman" w:hAnsi="Times New Roman" w:cs="Times New Roman"/>
          <w:sz w:val="28"/>
          <w:szCs w:val="28"/>
        </w:rPr>
        <w:t xml:space="preserve"> </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Default="00A34377" w:rsidP="00A34377">
      <w:pPr>
        <w:pStyle w:val="ConsPlusNormal"/>
        <w:ind w:left="1070"/>
        <w:jc w:val="both"/>
        <w:rPr>
          <w:rFonts w:ascii="Times New Roman" w:hAnsi="Times New Roman" w:cs="Times New Roman"/>
          <w:sz w:val="28"/>
          <w:szCs w:val="28"/>
        </w:rPr>
      </w:pPr>
    </w:p>
    <w:p w:rsidR="006A0A71" w:rsidRDefault="006A0A71" w:rsidP="00A34377">
      <w:pPr>
        <w:pStyle w:val="ConsPlusNormal"/>
        <w:ind w:left="1070"/>
        <w:jc w:val="both"/>
        <w:rPr>
          <w:rFonts w:ascii="Times New Roman" w:hAnsi="Times New Roman" w:cs="Times New Roman"/>
          <w:sz w:val="28"/>
          <w:szCs w:val="28"/>
        </w:rPr>
      </w:pPr>
    </w:p>
    <w:p w:rsidR="00783CD0" w:rsidRDefault="00783CD0" w:rsidP="00A34377">
      <w:pPr>
        <w:pStyle w:val="ConsPlusNormal"/>
        <w:ind w:left="1070"/>
        <w:jc w:val="both"/>
        <w:rPr>
          <w:rFonts w:ascii="Times New Roman" w:hAnsi="Times New Roman" w:cs="Times New Roman"/>
          <w:sz w:val="28"/>
          <w:szCs w:val="28"/>
        </w:rPr>
      </w:pPr>
    </w:p>
    <w:p w:rsidR="00783CD0" w:rsidRPr="00957BB2" w:rsidRDefault="00783CD0"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3"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6A0A71" w:rsidRDefault="006A0A71" w:rsidP="00E572FC">
      <w:pPr>
        <w:spacing w:after="0" w:line="240" w:lineRule="auto"/>
        <w:ind w:left="5670"/>
        <w:jc w:val="right"/>
        <w:rPr>
          <w:rFonts w:ascii="Times New Roman" w:hAnsi="Times New Roman" w:cs="Times New Roman"/>
          <w:sz w:val="24"/>
          <w:szCs w:val="24"/>
        </w:rPr>
      </w:pPr>
    </w:p>
    <w:p w:rsidR="00703EAD" w:rsidRDefault="00703EAD" w:rsidP="00D95BF5">
      <w:pPr>
        <w:spacing w:after="0" w:line="240" w:lineRule="auto"/>
        <w:rPr>
          <w:rFonts w:ascii="Times New Roman" w:hAnsi="Times New Roman" w:cs="Times New Roman"/>
          <w:sz w:val="24"/>
          <w:szCs w:val="24"/>
        </w:rPr>
      </w:pPr>
    </w:p>
    <w:p w:rsidR="00D95BF5" w:rsidRPr="00957BB2" w:rsidRDefault="00D95BF5" w:rsidP="00D95BF5">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6A0A7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7D2121"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 _</w:t>
      </w:r>
      <w:r w:rsidR="00E572FC" w:rsidRPr="00957BB2">
        <w:rPr>
          <w:rFonts w:ascii="Times New Roman" w:hAnsi="Times New Roman" w:cs="Times New Roman"/>
          <w:sz w:val="28"/>
          <w:szCs w:val="28"/>
        </w:rPr>
        <w:t>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7D2121" w:rsidRPr="00957BB2">
        <w:rPr>
          <w:rFonts w:ascii="Times New Roman" w:hAnsi="Times New Roman" w:cs="Times New Roman"/>
          <w:sz w:val="28"/>
          <w:szCs w:val="28"/>
        </w:rPr>
        <w:t>Настоящим</w:t>
      </w:r>
      <w:r w:rsidR="007D2121" w:rsidRPr="00957BB2">
        <w:rPr>
          <w:rFonts w:ascii="Times New Roman" w:hAnsi="Times New Roman" w:cs="Times New Roman"/>
          <w:i/>
          <w:sz w:val="24"/>
          <w:szCs w:val="24"/>
          <w:u w:val="single"/>
        </w:rPr>
        <w:t xml:space="preserve"> (</w:t>
      </w:r>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 xml:space="preserve">индивидуального </w:t>
      </w:r>
      <w:r w:rsidR="007D2121" w:rsidRPr="00957BB2">
        <w:rPr>
          <w:rFonts w:ascii="Times New Roman" w:hAnsi="Times New Roman" w:cs="Times New Roman"/>
          <w:i/>
          <w:sz w:val="24"/>
          <w:szCs w:val="24"/>
          <w:u w:val="single"/>
        </w:rPr>
        <w:t>предпринимателя)</w:t>
      </w:r>
      <w:r w:rsidR="007D2121" w:rsidRPr="00957BB2">
        <w:rPr>
          <w:rFonts w:ascii="Times New Roman" w:hAnsi="Times New Roman" w:cs="Times New Roman"/>
          <w:sz w:val="28"/>
          <w:szCs w:val="28"/>
        </w:rPr>
        <w:t xml:space="preserve"> подтверждает</w:t>
      </w:r>
      <w:r w:rsidR="00E572FC" w:rsidRPr="00957BB2">
        <w:rPr>
          <w:rFonts w:ascii="Times New Roman" w:hAnsi="Times New Roman" w:cs="Times New Roman"/>
          <w:sz w:val="28"/>
          <w:szCs w:val="28"/>
        </w:rPr>
        <w:t xml:space="preserve">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4"/>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09" w:rsidRDefault="00D13C09" w:rsidP="009E4821">
      <w:pPr>
        <w:spacing w:after="0" w:line="240" w:lineRule="auto"/>
      </w:pPr>
      <w:r>
        <w:separator/>
      </w:r>
    </w:p>
  </w:endnote>
  <w:endnote w:type="continuationSeparator" w:id="0">
    <w:p w:rsidR="00D13C09" w:rsidRDefault="00D13C0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09" w:rsidRDefault="00D13C09" w:rsidP="009E4821">
      <w:pPr>
        <w:spacing w:after="0" w:line="240" w:lineRule="auto"/>
      </w:pPr>
      <w:r>
        <w:separator/>
      </w:r>
    </w:p>
  </w:footnote>
  <w:footnote w:type="continuationSeparator" w:id="0">
    <w:p w:rsidR="00D13C09" w:rsidRDefault="00D13C09" w:rsidP="009E4821">
      <w:pPr>
        <w:spacing w:after="0" w:line="240" w:lineRule="auto"/>
      </w:pPr>
      <w:r>
        <w:continuationSeparator/>
      </w:r>
    </w:p>
  </w:footnote>
  <w:footnote w:id="1">
    <w:p w:rsidR="00F526F0" w:rsidRPr="004F1A64" w:rsidRDefault="00F526F0"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526F0" w:rsidRPr="00E94A4F" w:rsidRDefault="00F526F0"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526F0" w:rsidRPr="00E94A4F" w:rsidRDefault="00F526F0"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526F0" w:rsidRDefault="00F526F0"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526F0" w:rsidRDefault="00F526F0">
        <w:pPr>
          <w:pStyle w:val="af8"/>
          <w:jc w:val="center"/>
        </w:pPr>
        <w:r>
          <w:fldChar w:fldCharType="begin"/>
        </w:r>
        <w:r>
          <w:instrText>PAGE   \* MERGEFORMAT</w:instrText>
        </w:r>
        <w:r>
          <w:fldChar w:fldCharType="separate"/>
        </w:r>
        <w:r w:rsidR="009A220B">
          <w:rPr>
            <w:noProof/>
          </w:rPr>
          <w:t>2</w:t>
        </w:r>
        <w:r>
          <w:rPr>
            <w:noProof/>
          </w:rPr>
          <w:fldChar w:fldCharType="end"/>
        </w:r>
      </w:p>
    </w:sdtContent>
  </w:sdt>
  <w:p w:rsidR="00F526F0" w:rsidRDefault="00F526F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1552"/>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57747"/>
    <w:rsid w:val="001608A9"/>
    <w:rsid w:val="00166051"/>
    <w:rsid w:val="00170A14"/>
    <w:rsid w:val="0017121D"/>
    <w:rsid w:val="00174835"/>
    <w:rsid w:val="00180270"/>
    <w:rsid w:val="001837F8"/>
    <w:rsid w:val="001870EF"/>
    <w:rsid w:val="00197D1E"/>
    <w:rsid w:val="001A1C63"/>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268"/>
    <w:rsid w:val="0024069F"/>
    <w:rsid w:val="002412B3"/>
    <w:rsid w:val="002424D3"/>
    <w:rsid w:val="00243728"/>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25F0"/>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985"/>
    <w:rsid w:val="003E4B4C"/>
    <w:rsid w:val="003F1459"/>
    <w:rsid w:val="003F301E"/>
    <w:rsid w:val="003F7140"/>
    <w:rsid w:val="00400D37"/>
    <w:rsid w:val="004027F9"/>
    <w:rsid w:val="00403391"/>
    <w:rsid w:val="0040406F"/>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37F62"/>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5BF5"/>
    <w:rsid w:val="004C6531"/>
    <w:rsid w:val="004C66AC"/>
    <w:rsid w:val="004C74A1"/>
    <w:rsid w:val="004C7C33"/>
    <w:rsid w:val="004D0BA2"/>
    <w:rsid w:val="004D700C"/>
    <w:rsid w:val="004E1C17"/>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94C32"/>
    <w:rsid w:val="00596D07"/>
    <w:rsid w:val="00597B40"/>
    <w:rsid w:val="005A0DBA"/>
    <w:rsid w:val="005A2F65"/>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10A"/>
    <w:rsid w:val="006817D2"/>
    <w:rsid w:val="00682DB8"/>
    <w:rsid w:val="006830E8"/>
    <w:rsid w:val="00683263"/>
    <w:rsid w:val="006901AF"/>
    <w:rsid w:val="006911AC"/>
    <w:rsid w:val="006958B0"/>
    <w:rsid w:val="00697459"/>
    <w:rsid w:val="006A0A71"/>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972"/>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83CD0"/>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D2121"/>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84621"/>
    <w:rsid w:val="00892606"/>
    <w:rsid w:val="00892EBB"/>
    <w:rsid w:val="00894CC4"/>
    <w:rsid w:val="00896A49"/>
    <w:rsid w:val="00897901"/>
    <w:rsid w:val="008B12C6"/>
    <w:rsid w:val="008B27FE"/>
    <w:rsid w:val="008B40A9"/>
    <w:rsid w:val="008B64D1"/>
    <w:rsid w:val="008B729A"/>
    <w:rsid w:val="008C0259"/>
    <w:rsid w:val="008C7373"/>
    <w:rsid w:val="008D1543"/>
    <w:rsid w:val="008D28BC"/>
    <w:rsid w:val="008D32AE"/>
    <w:rsid w:val="008D498B"/>
    <w:rsid w:val="008E1607"/>
    <w:rsid w:val="008F71A5"/>
    <w:rsid w:val="00900AEA"/>
    <w:rsid w:val="00905414"/>
    <w:rsid w:val="00906667"/>
    <w:rsid w:val="00911452"/>
    <w:rsid w:val="009136B0"/>
    <w:rsid w:val="00915101"/>
    <w:rsid w:val="009155AE"/>
    <w:rsid w:val="009156AE"/>
    <w:rsid w:val="00915A09"/>
    <w:rsid w:val="00921E65"/>
    <w:rsid w:val="00922F89"/>
    <w:rsid w:val="00925876"/>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239"/>
    <w:rsid w:val="00985C54"/>
    <w:rsid w:val="00987BC1"/>
    <w:rsid w:val="009927FE"/>
    <w:rsid w:val="009928BA"/>
    <w:rsid w:val="009946A2"/>
    <w:rsid w:val="009A220B"/>
    <w:rsid w:val="009A576A"/>
    <w:rsid w:val="009A64E9"/>
    <w:rsid w:val="009B5CC6"/>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19FC"/>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AC5"/>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3BCA"/>
    <w:rsid w:val="00C85E5F"/>
    <w:rsid w:val="00C8651D"/>
    <w:rsid w:val="00C867CE"/>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0EC5"/>
    <w:rsid w:val="00CF2B55"/>
    <w:rsid w:val="00CF33E3"/>
    <w:rsid w:val="00CF7251"/>
    <w:rsid w:val="00D03A0F"/>
    <w:rsid w:val="00D0480E"/>
    <w:rsid w:val="00D06FCD"/>
    <w:rsid w:val="00D07E26"/>
    <w:rsid w:val="00D07FE7"/>
    <w:rsid w:val="00D10A39"/>
    <w:rsid w:val="00D12237"/>
    <w:rsid w:val="00D13C09"/>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5BF5"/>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5F2"/>
    <w:rsid w:val="00E219A8"/>
    <w:rsid w:val="00E276EC"/>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0ADA"/>
    <w:rsid w:val="00F1123B"/>
    <w:rsid w:val="00F11F50"/>
    <w:rsid w:val="00F127F7"/>
    <w:rsid w:val="00F146BF"/>
    <w:rsid w:val="00F14EEA"/>
    <w:rsid w:val="00F2121C"/>
    <w:rsid w:val="00F24D73"/>
    <w:rsid w:val="00F26E6B"/>
    <w:rsid w:val="00F302D1"/>
    <w:rsid w:val="00F42CFD"/>
    <w:rsid w:val="00F4707F"/>
    <w:rsid w:val="00F526F0"/>
    <w:rsid w:val="00F55D87"/>
    <w:rsid w:val="00F561B1"/>
    <w:rsid w:val="00F5660B"/>
    <w:rsid w:val="00F6275E"/>
    <w:rsid w:val="00F62B79"/>
    <w:rsid w:val="00F64B45"/>
    <w:rsid w:val="00F66029"/>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AD85"/>
  <w15:docId w15:val="{77ED40DE-5B82-40C1-838A-6E9D04B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5" TargetMode="External"/><Relationship Id="rId13" Type="http://schemas.openxmlformats.org/officeDocument/2006/relationships/hyperlink" Target="http://docs.cntd.ru/document/902192610"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R&amp;n=439201"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37094&amp;dst=17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188&amp;dst=1035" TargetMode="External"/><Relationship Id="rId20" Type="http://schemas.openxmlformats.org/officeDocument/2006/relationships/hyperlink" Target="http://base.garant.ru/12125268/1a3e2a66ba56522a5bedeada6d6103b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3188&amp;dst=1035"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86281" TargetMode="External"/><Relationship Id="rId22" Type="http://schemas.openxmlformats.org/officeDocument/2006/relationships/hyperlink" Target="http://rek.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63D1-53BA-43C9-B954-CA84892D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11002</Words>
  <Characters>62716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53</cp:revision>
  <cp:lastPrinted>2023-12-19T12:16:00Z</cp:lastPrinted>
  <dcterms:created xsi:type="dcterms:W3CDTF">2024-03-05T06:13:00Z</dcterms:created>
  <dcterms:modified xsi:type="dcterms:W3CDTF">2025-09-29T11:31:00Z</dcterms:modified>
</cp:coreProperties>
</file>