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ФСТ России от 24.10.2014 N 1831-э</w:t>
              <w:br/>
              <w:t xml:space="preserve">(ред. от 11.11.2022)</w:t>
              <w:br/>
              <w:t xml:space="preserve">"Об утверждении форм раскрытия информации субъектами рынков электрической энергии и мощности, являющимися субъектами естественных монополий"</w:t>
              <w:br/>
              <w:t xml:space="preserve">(Зарегистрировано в Минюсте России 13.01.2015 N 35535)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января 2015 г. N 35535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ТАРИФАМ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октября 2014 г. N 1831-э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РАСКРЫТИЯ ИНФОРМАЦИИ</w:t>
      </w:r>
    </w:p>
    <w:p>
      <w:pPr>
        <w:pStyle w:val="2"/>
        <w:jc w:val="center"/>
      </w:pPr>
      <w:r>
        <w:rPr>
          <w:sz w:val="20"/>
        </w:rPr>
        <w:t xml:space="preserve">СУБЪЕКТАМИ РЫНКОВ ЭЛЕКТРИЧЕСКОЙ ЭНЕРГИИ И МОЩНОСТИ,</w:t>
      </w:r>
    </w:p>
    <w:p>
      <w:pPr>
        <w:pStyle w:val="2"/>
        <w:jc w:val="center"/>
      </w:pPr>
      <w:r>
        <w:rPr>
          <w:sz w:val="20"/>
        </w:rPr>
        <w:t xml:space="preserve">ЯВЛЯЮЩИМИСЯ СУБЪЕКТАМИ ЕСТЕСТВЕННЫХ МОНОПОЛИЙ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риказ ФАС России от 11.11.2022 N 799/22 &quot;О внесении изменений в приказ ФСТ России от 24 октября 2014 г. N 1831-э &quot;Об утверждении форм раскрытия информации субъектами рынков электрической энергии и мощности, являющимися субъектами естественных монополий&quot; и признании утратившим силу приказа ФСТ России от 20 мая 2011 г. N 220-э &quot;Об утверждении единого для всех инвестиционных проектов по формированию перспективного технологического резерва мощностей по производству электрической энергии показателя доходности к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ФАС России от 11.11.2022 N 799/22)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17.08.1995 N 147-ФЗ (ред. от 08.08.2024)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августа 1995 года N 147-ФЗ "О естественных монополиях" (Собрание законодательства Российской Федерации, 1995, N 34, ст. 3426; 2001, N 33 (часть I), ст. 3429; 2002, N 1 (часть I), ст. 2; 2003, N 2, ст. 168; N 13, ст. 1181; 2004, N 27, ст. 2711; 2006, N 1, ст. 10; N 19, ст. 2063; 2007, N 1 (часть I), ст. 21; N 43, ст. 5084; N 46, ст. 5557; 2008, N 52 (часть I), ст. 6236; 2011, N 29, ст. 4281; N 30 (часть I), ст. 4590, ст. 4596; N 50, ст. 7343; 2012, N 26, ст. 3446; N 31, ст. 4321; N 51 (часть I), ст. 7616), на основании постановлений Правительства Российской Федерации от 28 апреля 2014 года </w:t>
      </w:r>
      <w:hyperlink w:history="0" r:id="rId10" w:tooltip="Постановление Правительства РФ от 28.04.2014 N 381 (ред. от 09.08.2014) &quot;О внесении изменений в стандарты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N 381</w:t>
        </w:r>
      </w:hyperlink>
      <w:r>
        <w:rPr>
          <w:sz w:val="20"/>
        </w:rPr>
        <w:t xml:space="preserve"> "О внесении изменений в стандарты раскрытия информации субъектами оптового и розничных рынков электрической энергии" (Собрание законодательства Российской Федерации, 2014, N 19, ст. 2416; N 34, ст. 4659), от 21 января 2004 года </w:t>
      </w:r>
      <w:hyperlink w:history="0" r:id="rId11" w:tooltip="Постановление Правительства РФ от 21.01.2004 N 24 (ред. от 23.12.2024) &quot;Об утверждении стандартов раскрытия информации субъектами оптового и розничных рынков электрической энергии&quot;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4431; 2011, N 45, ст. 6404; 2012, N 4, ст. 505; N 23, ст. 3008; 2013, N 27, ст. 3602; N 31, ст. 4216, ст. 4226; N 36, ст. 4586; N 50, ст. 6598; 2014, N 9, ст. 907; N 8, ст. 815; N 9, ст. 919; N 19, ст. 2416; N 25, ст. 3311; N 34, ст. 4659), в соответствии с </w:t>
      </w:r>
      <w:hyperlink w:history="0" r:id="rId12" w:tooltip="Постановление Правительства РФ от 29.12.2011 N 1178 (ред. от 20.02.2025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3897; N 41, ст. 5636;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3311, N 28, ст. 4050; N 32, ст. 4521; N 33, ст. 4596; N 34, ст. 4659, ст. 4677; N 35, ст. 4769), </w:t>
      </w:r>
      <w:hyperlink w:history="0" r:id="rId13" w:tooltip="Постановление Правительства РФ от 30.06.2004 N 332 (ред. от 26.03.2015) &quot;Об утверждении Положения о Федеральной службе по тарифам&quot;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Федеральной службе по тарифам, утвержденным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2007, N 16, ст. 1912; N 25, ст. 3039; N 32, ст. 4145; 2008, N 7, ст. 597; N 17, ст. 1897; N 23, ст. 2719; N 38, ст. 4309; N 46, ст. 5337; 2009, N 1, ст. 142; N 3, ст. 378; N 6, ст. 738; N 9, ст. 1119; N 18 (часть II), ст. 2249; N 33, ст. 4086; 2010, N 9, ст. 960; N 13, ст. 1514; N 25, ст. 3169; N 26, ст. 3350; N 30, ст. 4096; N 45, ст. 5851, ст. 5822),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формы раскрытия информации сетевыми организациями согласно </w:t>
      </w:r>
      <w:hyperlink w:history="0" w:anchor="P34" w:tooltip="Форма раскрытия информации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 - </w:t>
      </w:r>
      <w:hyperlink w:history="0" w:anchor="P1168" w:tooltip="Форма раскрытия информации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Утвердить формы раскрытия информации субъектами оперативно-диспетчерского управления согласно </w:t>
      </w:r>
      <w:hyperlink w:history="0" w:anchor="P1538" w:tooltip="Форма раскрытия информации">
        <w:r>
          <w:rPr>
            <w:sz w:val="20"/>
            <w:color w:val="0000ff"/>
          </w:rPr>
          <w:t xml:space="preserve">приложениям 6</w:t>
        </w:r>
      </w:hyperlink>
      <w:r>
        <w:rPr>
          <w:sz w:val="20"/>
        </w:rPr>
        <w:t xml:space="preserve"> - </w:t>
      </w:r>
      <w:hyperlink w:history="0" w:anchor="P1821" w:tooltip="Форма раскрытия информации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4" w:tooltip="Приказ ФСТ РФ от 02.03.2011 N 56-э &quot;Об утверждении форм раскрытия информации субъектами оптового и розничных рынков электрической энергии, осуществляющими деятельность в сферах деятельности субъектов естественных монополий&quot; (Зарегистрировано в Минюсте РФ 08.04.2011 N 2044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ФСТ России от 02.03.2011 N 56-э "Об утверждении форм раскрытия информации субъектами оптового и розничных рынков электрической энергии, осуществляющими деятельность в сферах деятельности субъектов естественных монополий" (зарегистрирован Минюстом России 08.04.2011, регистрационный N 20443).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Настоящий приказ вступает в силу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С.НОВИКОВ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структуре и объемах затрат на оказание услуг по передаче</w:t>
      </w:r>
    </w:p>
    <w:p>
      <w:pPr>
        <w:pStyle w:val="0"/>
        <w:jc w:val="center"/>
      </w:pPr>
      <w:r>
        <w:rPr>
          <w:sz w:val="20"/>
        </w:rPr>
        <w:t xml:space="preserve">электрической энергии сетевыми организациями, регулирование</w:t>
      </w:r>
    </w:p>
    <w:p>
      <w:pPr>
        <w:pStyle w:val="0"/>
        <w:jc w:val="center"/>
      </w:pPr>
      <w:r>
        <w:rPr>
          <w:sz w:val="20"/>
        </w:rPr>
        <w:t xml:space="preserve">деятельности которых осуществляется методом доходности</w:t>
      </w:r>
    </w:p>
    <w:p>
      <w:pPr>
        <w:pStyle w:val="0"/>
        <w:jc w:val="center"/>
      </w:pPr>
      <w:r>
        <w:rPr>
          <w:sz w:val="20"/>
        </w:rPr>
        <w:t xml:space="preserve">инвестированного капитала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организации: 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ИНН: ________________________________________________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КПП: ________________________________________________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Долгосрочный период регулирования: ____ - ____ гг.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2"/>
        <w:gridCol w:w="4654"/>
        <w:gridCol w:w="1147"/>
        <w:gridCol w:w="770"/>
        <w:gridCol w:w="800"/>
        <w:gridCol w:w="1400"/>
      </w:tblGrid>
      <w:tr>
        <w:tc>
          <w:tcPr>
            <w:tcW w:w="9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1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00" w:type="dxa"/>
            <w:vMerge w:val="restart"/>
          </w:tcPr>
          <w:bookmarkStart w:id="49" w:name="P49"/>
          <w:bookmarkEnd w:id="49"/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369" w:tooltip="&lt;***&gt; При наличии отклонений фактических значений показателей от плановых значений в столбце &lt;Примечание&gt; указываются причины их возникновения. В отношении показателей, перечисленных в разделе I II формы, причины возникновения отклонений фактических значений показателей от плановых указываются при наличии указанных отклонений в размере, превышающем 15 процентов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</w:t>
            </w:r>
            <w:hyperlink w:history="0" w:anchor="P367" w:tooltip="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 </w:t>
            </w:r>
            <w:hyperlink w:history="0" w:anchor="P368" w:tooltip="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затрат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Необходимая валовая выручка на содержание (далее - НВВ)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Подконтрольные (операционные) расходы, включенные в НВВ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Материальные расходы,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tcW w:w="4654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в том числе на сырье, материалы, запасные части, инструмент, топливо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bookmarkStart w:id="82" w:name="P82"/>
          <w:bookmarkEnd w:id="82"/>
          <w:p>
            <w:pPr>
              <w:pStyle w:val="0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tcW w:w="4654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оплаты труда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bookmarkStart w:id="106" w:name="P106"/>
          <w:bookmarkEnd w:id="106"/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операционные расходы (с расшифровкой)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bookmarkStart w:id="118" w:name="P118"/>
          <w:bookmarkEnd w:id="118"/>
          <w:p>
            <w:pPr>
              <w:pStyle w:val="0"/>
              <w:jc w:val="center"/>
            </w:pPr>
            <w:r>
              <w:rPr>
                <w:sz w:val="20"/>
              </w:rPr>
              <w:t xml:space="preserve">1.1.3.1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транспортные услуги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прочие расходы (с расшифровкой) </w:t>
            </w:r>
            <w:hyperlink w:history="0" w:anchor="P370" w:tooltip="&lt;****&gt; 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Неподконтрольные расходы, включенные в НВВ,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Оплата услуг ОАО "ФСК ЕЭС"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на оплату технологического присоединения к сетям смежной сетевой организации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Плата за аренду имущества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на прибыль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налоги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1.2.7.1</w:t>
            </w:r>
          </w:p>
        </w:tc>
        <w:tc>
          <w:tcPr>
            <w:tcW w:w="4654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Справочно: "Количество льготных технологических присоединений"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1.2.8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Возврат инвестированного капитала,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размер средств, направляемых на реализацию инвестиционных программ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 на инвестированный капитал,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размер средств, направляемых на реализацию инвестиционных программ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Изменение необходимой валовой выручки, производимое в целях сглаживания тарифов (+/-)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Корректировки необходимой валовой выручки, учтенные в утвержденных тарифных решениях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Экономия операционных расходов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Экономия от снижения технологических потерь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Справочно: расходы на ремонт, всего (</w:t>
            </w:r>
            <w:hyperlink w:history="0" w:anchor="P82" w:tooltip="1.1.1.2">
              <w:r>
                <w:rPr>
                  <w:sz w:val="20"/>
                  <w:color w:val="0000ff"/>
                </w:rPr>
                <w:t xml:space="preserve">пункт 1.1.1.2</w:t>
              </w:r>
            </w:hyperlink>
            <w:r>
              <w:rPr>
                <w:sz w:val="20"/>
              </w:rPr>
              <w:t xml:space="preserve"> + </w:t>
            </w:r>
            <w:hyperlink w:history="0" w:anchor="P106" w:tooltip="1.1.2.1">
              <w:r>
                <w:rPr>
                  <w:sz w:val="20"/>
                  <w:color w:val="0000ff"/>
                </w:rPr>
                <w:t xml:space="preserve">пункт 1.1.2.1</w:t>
              </w:r>
            </w:hyperlink>
            <w:r>
              <w:rPr>
                <w:sz w:val="20"/>
              </w:rPr>
              <w:t xml:space="preserve"> + </w:t>
            </w:r>
            <w:hyperlink w:history="0" w:anchor="P118" w:tooltip="1.1.3.1">
              <w:r>
                <w:rPr>
                  <w:sz w:val="20"/>
                  <w:color w:val="0000ff"/>
                </w:rPr>
                <w:t xml:space="preserve">пункт 1.1.3.1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технологических потерь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МВт·ч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 доходности на инвестированный капитал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норма доходности на инвестированный капитал, установленная ФСТ России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общее количество точек подключения на конец года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Трансформаторная мощность подстанций,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2.n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трансформаторная мощность подстанций на i уровне напряжения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условных единиц по линиям электропередач,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3.n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количество условных единиц по линиям электропередач на i уровне напряжения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условных единиц по подстанциям,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4.n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количество условных единиц по подстанциям на i уровне напряжения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Длина линий электропередач, всего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5.n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длина линий электропередач на i уровне напряжения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кабельных линий электропередач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Ввод в эксплуатацию новых объектов электросетевого комплекса на конец года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46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за счет платы за технологическое присоединение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654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норматив технологического расхода (потерь) электрической энергии, установленный Минэнерго России </w:t>
            </w:r>
            <w:hyperlink w:history="0" w:anchor="P371" w:tooltip="&lt;*****&gt; 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N 400.">
              <w:r>
                <w:rPr>
                  <w:sz w:val="20"/>
                  <w:color w:val="0000ff"/>
                </w:rPr>
                <w:t xml:space="preserve">&lt;*****&gt;</w:t>
              </w:r>
            </w:hyperlink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367" w:name="P367"/>
    <w:bookmarkEnd w:id="36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bookmarkStart w:id="368" w:name="P368"/>
    <w:bookmarkEnd w:id="36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bookmarkStart w:id="369" w:name="P369"/>
    <w:bookmarkEnd w:id="36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&lt;***&gt; При наличии отклонений фактических значений показателей от плановых значений в </w:t>
      </w:r>
      <w:hyperlink w:history="0" w:anchor="P49" w:tooltip="Примечание &lt;**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&lt;Примечание&gt; указываются причины их возникновения. В отношении показателей, перечисленных в разделе I II </w:t>
      </w:r>
      <w:hyperlink w:history="0" w:anchor="P34" w:tooltip="Форма раскрытия информации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, причины возникновения отклонений фактических значений показателей от плановых указываются при наличии указанных отклонений в размере, превышающем 15 процентов.</w:t>
      </w:r>
    </w:p>
    <w:bookmarkStart w:id="370" w:name="P370"/>
    <w:bookmarkEnd w:id="37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&lt;****&gt; В соответствии с </w:t>
      </w:r>
      <w:hyperlink w:history="0" r:id="rId15" w:tooltip="Постановление Правительства РФ от 29.12.2011 N 1178 (ред. от 20.02.2025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 {КонсультантПлюс}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bookmarkStart w:id="371" w:name="P371"/>
    <w:bookmarkEnd w:id="37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&lt;*****&gt; В соответствии с </w:t>
      </w:r>
      <w:hyperlink w:history="0" r:id="rId16" w:tooltip="Постановление Правительства РФ от 28.05.2008 N 400 (ред. от 10.04.2025) &quot;О Министерстве энергетики Российской Федерации&quot; {КонсультантПлюс}">
        <w:r>
          <w:rPr>
            <w:sz w:val="20"/>
            <w:color w:val="0000ff"/>
          </w:rPr>
          <w:t xml:space="preserve">пунктом 4.2.14.8</w:t>
        </w:r>
      </w:hyperlink>
      <w:r>
        <w:rPr>
          <w:sz w:val="20"/>
        </w:rP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структуре и объемах затрат на оказание услуг по передаче</w:t>
      </w:r>
    </w:p>
    <w:p>
      <w:pPr>
        <w:pStyle w:val="0"/>
        <w:jc w:val="center"/>
      </w:pPr>
      <w:r>
        <w:rPr>
          <w:sz w:val="20"/>
        </w:rPr>
        <w:t xml:space="preserve">электрической энергии сетевыми организациями, регулирование</w:t>
      </w:r>
    </w:p>
    <w:p>
      <w:pPr>
        <w:pStyle w:val="0"/>
        <w:jc w:val="center"/>
      </w:pPr>
      <w:r>
        <w:rPr>
          <w:sz w:val="20"/>
        </w:rPr>
        <w:t xml:space="preserve">деятельности которых осуществляется методом долгосрочной</w:t>
      </w:r>
    </w:p>
    <w:p>
      <w:pPr>
        <w:pStyle w:val="0"/>
        <w:jc w:val="center"/>
      </w:pPr>
      <w:r>
        <w:rPr>
          <w:sz w:val="20"/>
        </w:rPr>
        <w:t xml:space="preserve">индексации необходимой валовой выручки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организации: 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ИНН: ________________________________________________________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КПП: ________________________________________________________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Долгосрочный период регулирования: ____ - ____ гг.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2"/>
        <w:gridCol w:w="4627"/>
        <w:gridCol w:w="1133"/>
        <w:gridCol w:w="812"/>
        <w:gridCol w:w="822"/>
        <w:gridCol w:w="1447"/>
      </w:tblGrid>
      <w:tr>
        <w:tc>
          <w:tcPr>
            <w:tcW w:w="101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47" w:type="dxa"/>
            <w:vMerge w:val="restart"/>
          </w:tcPr>
          <w:bookmarkStart w:id="397" w:name="P397"/>
          <w:bookmarkEnd w:id="397"/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701" w:tooltip="&lt;***&gt;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</w:t>
            </w:r>
            <w:hyperlink w:history="0" w:anchor="P699" w:tooltip="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 </w:t>
            </w:r>
            <w:hyperlink w:history="0" w:anchor="P700" w:tooltip="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затрат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Необходимая валовая выручка на содержание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Подконтрольные расходы,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Материальные расходы,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сырье, материалы, запасные части, инструмент, топливо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bookmarkStart w:id="430" w:name="P430"/>
          <w:bookmarkEnd w:id="430"/>
          <w:p>
            <w:pPr>
              <w:pStyle w:val="0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ремонт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оплаты труда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bookmarkStart w:id="454" w:name="P454"/>
          <w:bookmarkEnd w:id="454"/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Прочие 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bookmarkStart w:id="466" w:name="P466"/>
          <w:bookmarkEnd w:id="466"/>
          <w:p>
            <w:pPr>
              <w:pStyle w:val="0"/>
              <w:jc w:val="center"/>
            </w:pPr>
            <w:r>
              <w:rPr>
                <w:sz w:val="20"/>
              </w:rPr>
              <w:t xml:space="preserve">1.1.3.1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прибыль на социальное развитие (включая социальные выплаты)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транспортные услуги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1.1.3.3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прочие расходы (с расшифровкой) </w:t>
            </w:r>
            <w:hyperlink w:history="0" w:anchor="P702" w:tooltip="&lt;****&gt; 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на обслуживание операционных заемных средств в составе подконтрольных расходов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1.1.5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из прибыли в составе подконтрольных расходов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Неподконтрольные расходы, включенные в НВВ,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Оплата услуг ОАО "ФСК ЕЭС"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на оплату технологического присоединения к сетям смежной сетевой организации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Плата за аренду имущества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627" w:type="dxa"/>
          </w:tcPr>
          <w:p>
            <w:pPr>
              <w:pStyle w:val="0"/>
              <w:ind w:firstLine="58"/>
              <w:jc w:val="both"/>
            </w:pPr>
            <w:r>
              <w:rPr>
                <w:sz w:val="20"/>
              </w:rPr>
              <w:t xml:space="preserve"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амортизация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прибыль на капитальные вложения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1.2.8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на прибыль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1.2.9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налоги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1.2.10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1.2.10.1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Справочно: "Количество льготных технологических присоединений"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1.2.11</w:t>
            </w:r>
          </w:p>
        </w:tc>
        <w:tc>
          <w:tcPr>
            <w:tcW w:w="4627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1.2.12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прочие неподконтрольные расходы (с расшифровкой)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627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 расходы на ремонт, всего (</w:t>
            </w:r>
            <w:hyperlink w:history="0" w:anchor="P430" w:tooltip="1.1.1.2">
              <w:r>
                <w:rPr>
                  <w:sz w:val="20"/>
                  <w:color w:val="0000ff"/>
                </w:rPr>
                <w:t xml:space="preserve">пункт 1.1.1.2</w:t>
              </w:r>
            </w:hyperlink>
            <w:r>
              <w:rPr>
                <w:sz w:val="20"/>
              </w:rPr>
              <w:t xml:space="preserve"> + </w:t>
            </w:r>
            <w:hyperlink w:history="0" w:anchor="P454" w:tooltip="1.1.2.1">
              <w:r>
                <w:rPr>
                  <w:sz w:val="20"/>
                  <w:color w:val="0000ff"/>
                </w:rPr>
                <w:t xml:space="preserve">пункт 1.1.2.1</w:t>
              </w:r>
            </w:hyperlink>
            <w:r>
              <w:rPr>
                <w:sz w:val="20"/>
              </w:rPr>
              <w:t xml:space="preserve"> + </w:t>
            </w:r>
            <w:hyperlink w:history="0" w:anchor="P466" w:tooltip="1.1.3.1">
              <w:r>
                <w:rPr>
                  <w:sz w:val="20"/>
                  <w:color w:val="0000ff"/>
                </w:rPr>
                <w:t xml:space="preserve">пункт 1.1.3.1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технологических потерь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МВт·ч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</w:t>
            </w:r>
          </w:p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точек подключения на конец года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Трансформаторная мощность подстанций,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2.n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трансформаторная мощность подстанций на i уровне напряжения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Количество условных единиц по линиям электропередач,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3.n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количество условных единиц по линиям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условных единиц по подстанциям,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4.n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количество условных единиц по подстанциям на i уровне напряжения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Длина линий электропередач, всего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5.n</w:t>
            </w:r>
          </w:p>
        </w:tc>
        <w:tc>
          <w:tcPr>
            <w:tcW w:w="46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длина линий электропередач на i уровне напряжения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кабельных линий электропередач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Ввод в эксплуатацию новых объектов электросетевого комплекса на конец года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46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за счет платы за технологическое присоединение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627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норматив технологического расхода (потерь) электрической энергии, установленный Минэнерго России </w:t>
            </w:r>
            <w:hyperlink w:history="0" w:anchor="P703" w:tooltip="&lt;*****&gt; 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N 400.">
              <w:r>
                <w:rPr>
                  <w:sz w:val="20"/>
                  <w:color w:val="0000ff"/>
                </w:rPr>
                <w:t xml:space="preserve">&lt;*****&gt;</w:t>
              </w:r>
            </w:hyperlink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699" w:name="P699"/>
    <w:bookmarkEnd w:id="69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bookmarkStart w:id="700" w:name="P700"/>
    <w:bookmarkEnd w:id="70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bookmarkStart w:id="701" w:name="P701"/>
    <w:bookmarkEnd w:id="70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history="0" w:anchor="P397" w:tooltip="Примечание &lt;**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&lt;Примечание&gt; указываются причины их возникновения.</w:t>
      </w:r>
    </w:p>
    <w:bookmarkStart w:id="702" w:name="P702"/>
    <w:bookmarkEnd w:id="70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&lt;****&gt; В соответствии с </w:t>
      </w:r>
      <w:hyperlink w:history="0" r:id="rId17" w:tooltip="Постановление Правительства РФ от 29.12.2011 N 1178 (ред. от 20.02.2025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 {КонсультантПлюс}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bookmarkStart w:id="703" w:name="P703"/>
    <w:bookmarkEnd w:id="70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&lt;*****&gt; В соответствии с </w:t>
      </w:r>
      <w:hyperlink w:history="0" r:id="rId18" w:tooltip="Постановление Правительства РФ от 28.05.2008 N 400 (ред. от 10.04.2025) &quot;О Министерстве энергетики Российской Федерации&quot; {КонсультантПлюс}">
        <w:r>
          <w:rPr>
            <w:sz w:val="20"/>
            <w:color w:val="0000ff"/>
          </w:rPr>
          <w:t xml:space="preserve">пунктом 4.2.14.8</w:t>
        </w:r>
      </w:hyperlink>
      <w:r>
        <w:rPr>
          <w:sz w:val="20"/>
        </w:rP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структуре и объемах затрат на оказание услуг по передаче</w:t>
      </w:r>
    </w:p>
    <w:p>
      <w:pPr>
        <w:pStyle w:val="0"/>
        <w:jc w:val="center"/>
      </w:pPr>
      <w:r>
        <w:rPr>
          <w:sz w:val="20"/>
        </w:rPr>
        <w:t xml:space="preserve">электрической энергии сетевыми организациями, регулирование</w:t>
      </w:r>
    </w:p>
    <w:p>
      <w:pPr>
        <w:pStyle w:val="0"/>
        <w:jc w:val="center"/>
      </w:pPr>
      <w:r>
        <w:rPr>
          <w:sz w:val="20"/>
        </w:rPr>
        <w:t xml:space="preserve">деятельности которых осуществляется методом экономически</w:t>
      </w:r>
    </w:p>
    <w:p>
      <w:pPr>
        <w:pStyle w:val="0"/>
        <w:jc w:val="center"/>
      </w:pPr>
      <w:r>
        <w:rPr>
          <w:sz w:val="20"/>
        </w:rPr>
        <w:t xml:space="preserve">обоснованных расходов (затрат)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 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ИНН: ______________________________________________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КПП: 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7"/>
        <w:gridCol w:w="4746"/>
        <w:gridCol w:w="1091"/>
        <w:gridCol w:w="707"/>
        <w:gridCol w:w="700"/>
        <w:gridCol w:w="1418"/>
      </w:tblGrid>
      <w:tr>
        <w:tc>
          <w:tcPr>
            <w:tcW w:w="9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0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4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8" w:type="dxa"/>
            <w:vMerge w:val="restart"/>
          </w:tcPr>
          <w:bookmarkStart w:id="728" w:name="P728"/>
          <w:bookmarkEnd w:id="728"/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1020" w:tooltip="&lt;***&gt;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</w:t>
            </w:r>
            <w:hyperlink w:history="0" w:anchor="P1018" w:tooltip="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 </w:t>
            </w:r>
            <w:hyperlink w:history="0" w:anchor="P1019" w:tooltip="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затрат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Необходимая валовая выручка на содержание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Себестоимость, всего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Материальные расходы, всего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сырье, материалы, запасные части, инструмент, топливо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bookmarkStart w:id="761" w:name="P761"/>
          <w:bookmarkEnd w:id="761"/>
          <w:p>
            <w:pPr>
              <w:pStyle w:val="0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ремонт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оплаты труда и отчисления на социальные нужды, всего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bookmarkStart w:id="785" w:name="P785"/>
          <w:bookmarkEnd w:id="785"/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Амортизационные отчисления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bookmarkStart w:id="803" w:name="P803"/>
          <w:bookmarkEnd w:id="803"/>
          <w:p>
            <w:pPr>
              <w:pStyle w:val="0"/>
              <w:jc w:val="center"/>
            </w:pPr>
            <w:r>
              <w:rPr>
                <w:sz w:val="20"/>
              </w:rPr>
              <w:t xml:space="preserve">1.1.4.1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Плата за аренду имущества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налоги, пошлины и сборы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1.1.4.3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на обслуживание операционных заемных средств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bookmarkStart w:id="821" w:name="P821"/>
          <w:bookmarkEnd w:id="821"/>
          <w:p>
            <w:pPr>
              <w:pStyle w:val="0"/>
              <w:jc w:val="center"/>
            </w:pPr>
            <w:r>
              <w:rPr>
                <w:sz w:val="20"/>
              </w:rPr>
              <w:t xml:space="preserve">1.1.4.4</w:t>
            </w:r>
          </w:p>
        </w:tc>
        <w:tc>
          <w:tcPr>
            <w:tcW w:w="4746" w:type="dxa"/>
          </w:tcPr>
          <w:p>
            <w:pPr>
              <w:pStyle w:val="0"/>
              <w:ind w:firstLine="53"/>
              <w:jc w:val="both"/>
            </w:pPr>
            <w:r>
              <w:rPr>
                <w:sz w:val="20"/>
              </w:rPr>
              <w:t xml:space="preserve"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1.1.4.5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прочие расходы (с расшифровкой) </w:t>
            </w:r>
            <w:hyperlink w:history="0" w:anchor="P1021" w:tooltip="&lt;****&gt; В соответствии с пунктом 2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, за исключением подпунктов 1.1.4.1 - 1.1.4.4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Прибыль до налогообложения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на прибыль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Чистая прибыль, всего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прибыль на капитальные вложения (инвестиции)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прибыль на возврат инвестиционных кредитов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1.2.2.3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дивиденды по акциям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1.2.2.4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прочие расходы из прибыли (с расшифровкой)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Расходы на оплату технологического присоединения к сетям смежной сетевой организации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 "Количество льготных технологических присоединений"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4746" w:type="dxa"/>
          </w:tcPr>
          <w:p>
            <w:pPr>
              <w:pStyle w:val="0"/>
              <w:ind w:firstLine="14"/>
              <w:jc w:val="both"/>
            </w:pPr>
            <w:r>
              <w:rPr>
                <w:sz w:val="20"/>
              </w:rPr>
              <w:t xml:space="preserve"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Справочно: расходы на ремонт, всего (</w:t>
            </w:r>
            <w:hyperlink w:history="0" w:anchor="P761" w:tooltip="1.1.1.2">
              <w:r>
                <w:rPr>
                  <w:sz w:val="20"/>
                  <w:color w:val="0000ff"/>
                </w:rPr>
                <w:t xml:space="preserve">пункт 1.1.1.2</w:t>
              </w:r>
            </w:hyperlink>
            <w:r>
              <w:rPr>
                <w:sz w:val="20"/>
              </w:rPr>
              <w:t xml:space="preserve"> + </w:t>
            </w:r>
            <w:hyperlink w:history="0" w:anchor="P785" w:tooltip="1.1.2.1">
              <w:r>
                <w:rPr>
                  <w:sz w:val="20"/>
                  <w:color w:val="0000ff"/>
                </w:rPr>
                <w:t xml:space="preserve">пункт 1.1.2.1</w:t>
              </w:r>
            </w:hyperlink>
            <w:r>
              <w:rPr>
                <w:sz w:val="20"/>
              </w:rPr>
              <w:t xml:space="preserve"> + пункт 1.1.3.1)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технологических потерь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МВт·ч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Справочно: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4746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точек подключения на конец года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Трансформаторная мощность подстанций, всего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2.n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трансформаторная мощность подстанций на i уровне напряжения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условных единиц по линиям электропередач, всего, в том числе: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3.n</w:t>
            </w:r>
          </w:p>
        </w:tc>
        <w:tc>
          <w:tcPr>
            <w:tcW w:w="4746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в том числе количество условных единиц по линиям электропередач на i уровне напряжения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условных единиц по подстанциям, всего, в том числе: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4.n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Количество условных единиц по подстанциям на i уровне напряжения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у.е.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Длина линий электропередач, всего, в том числе: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5.n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длина линий электропередач на i уровне напряжения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кабельных линий электропередач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Ввод в эксплуатацию новых объектов электросетевого комплекса на конец года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в том числе за счет платы за технологическое присоединение</w:t>
            </w: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746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норматив технологического расхода (потерь) электрической энергии, установленный Минэнерго России </w:t>
            </w:r>
            <w:hyperlink w:history="0" w:anchor="P1022" w:tooltip="&lt;*****&gt; В соответствии с пунктом 4.2.14.8 Положения о Министерстве энергетики Российской Федерации, утвержденного постановлением Правительства Российской Федерации от 28.05.2008 N 400.">
              <w:r>
                <w:rPr>
                  <w:sz w:val="20"/>
                  <w:color w:val="0000ff"/>
                </w:rPr>
                <w:t xml:space="preserve">&lt;*****&gt;</w:t>
              </w:r>
            </w:hyperlink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018" w:name="P1018"/>
    <w:bookmarkEnd w:id="101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</w:t>
      </w:r>
    </w:p>
    <w:bookmarkStart w:id="1019" w:name="P1019"/>
    <w:bookmarkEnd w:id="101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bookmarkStart w:id="1020" w:name="P1020"/>
    <w:bookmarkEnd w:id="102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&lt;***&gt; При наличии отклонений фактических значений показателей от плановых значений более чем на 15 процентов в </w:t>
      </w:r>
      <w:hyperlink w:history="0" w:anchor="P728" w:tooltip="Примечание &lt;**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&lt;Примечание&gt; указываются причины их возникновения.</w:t>
      </w:r>
    </w:p>
    <w:bookmarkStart w:id="1021" w:name="P1021"/>
    <w:bookmarkEnd w:id="102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&lt;****&gt; В соответствии с </w:t>
      </w:r>
      <w:hyperlink w:history="0" r:id="rId19" w:tooltip="Постановление Правительства РФ от 29.12.2011 N 1178 (ред. от 20.02.2025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 {КонсультантПлюс}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1178, за исключением </w:t>
      </w:r>
      <w:hyperlink w:history="0" w:anchor="P803" w:tooltip="1.1.4.1">
        <w:r>
          <w:rPr>
            <w:sz w:val="20"/>
            <w:color w:val="0000ff"/>
          </w:rPr>
          <w:t xml:space="preserve">подпунктов 1.1.4.1</w:t>
        </w:r>
      </w:hyperlink>
      <w:r>
        <w:rPr>
          <w:sz w:val="20"/>
        </w:rPr>
        <w:t xml:space="preserve"> - </w:t>
      </w:r>
      <w:hyperlink w:history="0" w:anchor="P821" w:tooltip="1.1.4.4">
        <w:r>
          <w:rPr>
            <w:sz w:val="20"/>
            <w:color w:val="0000ff"/>
          </w:rPr>
          <w:t xml:space="preserve">1.1.4.4</w:t>
        </w:r>
      </w:hyperlink>
      <w:r>
        <w:rPr>
          <w:sz w:val="20"/>
        </w:rPr>
        <w:t xml:space="preserve">.</w:t>
      </w:r>
    </w:p>
    <w:bookmarkStart w:id="1022" w:name="P1022"/>
    <w:bookmarkEnd w:id="102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&lt;*****&gt; В соответствии с </w:t>
      </w:r>
      <w:hyperlink w:history="0" r:id="rId20" w:tooltip="Постановление Правительства РФ от 28.05.2008 N 400 (ред. от 10.04.2025) &quot;О Министерстве энергетики Российской Федерации&quot; {КонсультантПлюс}">
        <w:r>
          <w:rPr>
            <w:sz w:val="20"/>
            <w:color w:val="0000ff"/>
          </w:rPr>
          <w:t xml:space="preserve">пунктом 4.2.14.8</w:t>
        </w:r>
      </w:hyperlink>
      <w:r>
        <w:rPr>
          <w:sz w:val="20"/>
        </w:rPr>
        <w:t xml:space="preserve"> Положения о Министерстве энергетики Российской Федерации, утвержденного постановлением Правительства Российской Федерации от 28.05.2008 N 400.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движении активов, включающий балансовую стоимость активов</w:t>
      </w:r>
    </w:p>
    <w:p>
      <w:pPr>
        <w:pStyle w:val="0"/>
        <w:jc w:val="center"/>
      </w:pPr>
      <w:r>
        <w:rPr>
          <w:sz w:val="20"/>
        </w:rPr>
        <w:t xml:space="preserve">на начало года, балансовую стоимость активов на конец года,</w:t>
      </w:r>
    </w:p>
    <w:p>
      <w:pPr>
        <w:pStyle w:val="0"/>
        <w:jc w:val="center"/>
      </w:pPr>
      <w:r>
        <w:rPr>
          <w:sz w:val="20"/>
        </w:rPr>
        <w:t xml:space="preserve">а также информацию о выбытии активов в течение года,</w:t>
      </w:r>
    </w:p>
    <w:p>
      <w:pPr>
        <w:pStyle w:val="0"/>
        <w:jc w:val="center"/>
      </w:pPr>
      <w:r>
        <w:rPr>
          <w:sz w:val="20"/>
        </w:rPr>
        <w:t xml:space="preserve">о вводе активов в течение года, в том числе за счет</w:t>
      </w:r>
    </w:p>
    <w:p>
      <w:pPr>
        <w:pStyle w:val="0"/>
        <w:jc w:val="center"/>
      </w:pPr>
      <w:r>
        <w:rPr>
          <w:sz w:val="20"/>
        </w:rPr>
        <w:t xml:space="preserve">переоценки, модернизации, реконструкции, строительства</w:t>
      </w:r>
    </w:p>
    <w:p>
      <w:pPr>
        <w:pStyle w:val="0"/>
        <w:jc w:val="center"/>
      </w:pPr>
      <w:r>
        <w:rPr>
          <w:sz w:val="20"/>
        </w:rPr>
        <w:t xml:space="preserve">и приобретения нового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 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ИНН: _________________________________________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КПП: 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"/>
        <w:gridCol w:w="4958"/>
        <w:gridCol w:w="1134"/>
        <w:gridCol w:w="608"/>
        <w:gridCol w:w="749"/>
        <w:gridCol w:w="1418"/>
      </w:tblGrid>
      <w:tr>
        <w:tc>
          <w:tcPr>
            <w:tcW w:w="7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3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8" w:type="dxa"/>
            <w:vMerge w:val="restart"/>
          </w:tcPr>
          <w:bookmarkStart w:id="1049" w:name="P1049"/>
          <w:bookmarkEnd w:id="1049"/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1157" w:tooltip="&lt;*&gt;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vMerge w:val="continue"/>
          </w:tcPr>
          <w:p/>
        </w:tc>
      </w:tr>
      <w:tr>
        <w:tc>
          <w:tcPr>
            <w:tcW w:w="772" w:type="dxa"/>
          </w:tcPr>
          <w:p>
            <w:pPr>
              <w:pStyle w:val="0"/>
              <w:ind w:left="11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958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Остаточная балансовая стоимость активов на начало года долгосрочного периода регулирования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  <w:ind w:left="86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Ввод активов (основных средств), всего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</w:tcPr>
          <w:p>
            <w:pPr>
              <w:pStyle w:val="0"/>
              <w:ind w:left="24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958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стоимости активов (основных средств) за счет переоценки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  <w:ind w:left="19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Ввод активов (основных средств) за год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том числе модернизация и реконструкция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том числе новое строительство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Прочее, в том числе приобретение нового оборудования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  <w:vMerge w:val="restart"/>
          </w:tcPr>
          <w:p>
            <w:pPr>
              <w:pStyle w:val="0"/>
              <w:ind w:left="58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9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Выбытие активов (основных средств)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МВА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72" w:type="dxa"/>
          </w:tcPr>
          <w:p>
            <w:pPr>
              <w:pStyle w:val="0"/>
              <w:ind w:left="53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958" w:type="dxa"/>
          </w:tcPr>
          <w:p>
            <w:pPr>
              <w:pStyle w:val="0"/>
            </w:pPr>
            <w:r>
              <w:rPr>
                <w:sz w:val="20"/>
              </w:rPr>
              <w:t xml:space="preserve">Остаточная балансовая стоимость активов на конец года долгосрочного периода регулирования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157" w:name="P1157"/>
    <w:bookmarkEnd w:id="115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При наличии отклонений фактических значений показателей от плановых значений более чем на 15 процентов в </w:t>
      </w:r>
      <w:hyperlink w:history="0" w:anchor="P1049" w:tooltip="Примечание &lt;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&lt;Примечание&gt; указываются причины их возникновения.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bookmarkStart w:id="1168" w:name="P1168"/>
    <w:bookmarkEnd w:id="1168"/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субъектами рынков электрической энергии и мощности,</w:t>
      </w:r>
    </w:p>
    <w:p>
      <w:pPr>
        <w:pStyle w:val="0"/>
        <w:jc w:val="center"/>
      </w:pPr>
      <w:r>
        <w:rPr>
          <w:sz w:val="20"/>
        </w:rPr>
        <w:t xml:space="preserve">являющимися субъектами естественных монополий </w:t>
      </w:r>
      <w:hyperlink w:history="0" w:anchor="P1525" w:tooltip="&lt;*&gt; Заполняется субъектами естественных монополий, которым присвоен статус гарантирующего поставщика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 _______________________________________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ИНН: _________________________________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КПП: 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92"/>
        <w:gridCol w:w="1196"/>
        <w:gridCol w:w="1275"/>
        <w:gridCol w:w="595"/>
        <w:gridCol w:w="595"/>
        <w:gridCol w:w="596"/>
        <w:gridCol w:w="595"/>
        <w:gridCol w:w="596"/>
        <w:gridCol w:w="1559"/>
      </w:tblGrid>
      <w:tr>
        <w:tc>
          <w:tcPr>
            <w:tcW w:w="26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Дифференциация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ВН1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</w:t>
            </w:r>
          </w:p>
        </w:tc>
        <w:tc>
          <w:tcPr>
            <w:tcW w:w="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СН1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СН2</w:t>
            </w:r>
          </w:p>
        </w:tc>
        <w:tc>
          <w:tcPr>
            <w:tcW w:w="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НН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Комментарии</w:t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Тариф для населения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29"/>
              <w:jc w:val="both"/>
            </w:pPr>
            <w:r>
              <w:rPr>
                <w:sz w:val="20"/>
              </w:rPr>
              <w:t xml:space="preserve">1.1. цена закупки электрической энергии для населения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29"/>
              <w:jc w:val="both"/>
            </w:pPr>
            <w:r>
              <w:rPr>
                <w:sz w:val="20"/>
              </w:rPr>
              <w:t xml:space="preserve">1.2. стоимость услуг по передаче электрической энергии для населения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24"/>
              <w:jc w:val="both"/>
            </w:pPr>
            <w:r>
              <w:rPr>
                <w:sz w:val="20"/>
              </w:rPr>
              <w:t xml:space="preserve">1.3.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Среднегодовая цена на электрическую энергию по договору энергоснабжения, 1 ценовая категория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2.1.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2.2.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2.3.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3. Среднегодовая цена на электрическую энергию по договору энергоснабжения, 2 ценовая категория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  <w:t xml:space="preserve">День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  <w:t xml:space="preserve">Ночь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  <w:t xml:space="preserve">Пик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  <w:t xml:space="preserve">Полупик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  <w:t xml:space="preserve">Ночь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3.1.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Пик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Полупик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Ночь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3.2.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3.3.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4. Среднегодовая цена на электрическую энергию по договору энергоснабжения, 3 ценовая категория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4.1.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4.2.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4.3.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5. Среднегодовая цена на электрическую энергию по договору энергоснабжения, 4 ценовая категория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5.1.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4"/>
              <w:jc w:val="both"/>
            </w:pPr>
            <w:r>
              <w:rPr>
                <w:sz w:val="20"/>
              </w:rPr>
              <w:t xml:space="preserve">5.2.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потери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5.3.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5.4.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6. Среднегодовая цена на электрическую энергию по договору энергоснабжения, 5 ценовая категория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6.2.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6.3.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6.4.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7. Среднегодовая цена на электрическую энергию по договору энергоснабжения, 6 ценовая категория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7.1. в том числе цена закупки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электрическая энергия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  <w:vMerge w:val="restart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7.2. в том числе стоимость услуг по передаче электрической энергии</w:t>
            </w:r>
          </w:p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потери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1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 в месяц</w:t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ind w:firstLine="14"/>
              <w:jc w:val="both"/>
            </w:pPr>
            <w:r>
              <w:rPr>
                <w:sz w:val="20"/>
              </w:rPr>
              <w:t xml:space="preserve">7.3. в том числе стоимость иных услуг, оказание которых является неотъемлемой частью поставки электрической энергии потребителю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7.4. в том числе сбытовая надбавка гарантирующего поставщика</w:t>
            </w:r>
          </w:p>
        </w:tc>
        <w:tc>
          <w:tcPr>
            <w:tcW w:w="11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Руб./МВтч</w:t>
            </w:r>
          </w:p>
        </w:tc>
        <w:tc>
          <w:tcPr>
            <w:gridSpan w:val="5"/>
            <w:tcW w:w="29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525" w:name="P1525"/>
    <w:bookmarkEnd w:id="152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Заполняется субъектами естественных монополий, которым присвоен статус гарантирующего поставщика.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риказ ФАС России от 11.11.2022 N 799/22 &quot;О внесении изменений в приказ ФСТ России от 24 октября 2014 г. N 1831-э &quot;Об утверждении форм раскрытия информации субъектами рынков электрической энергии и мощности, являющимися субъектами естественных монополий&quot; и признании утратившим силу приказа ФСТ России от 20 мая 2011 г. N 220-э &quot;Об утверждении единого для всех инвестиционных проектов по формированию перспективного технологического резерва мощностей по производству электрической энергии показателя доходности к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ФАС России от 11.11.2022 N 799/22)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538" w:name="P1538"/>
    <w:bookmarkEnd w:id="1538"/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структуре и объемах затрат на оказание услуг</w:t>
      </w:r>
    </w:p>
    <w:p>
      <w:pPr>
        <w:pStyle w:val="0"/>
        <w:jc w:val="center"/>
      </w:pPr>
      <w:r>
        <w:rPr>
          <w:sz w:val="20"/>
        </w:rPr>
        <w:t xml:space="preserve">по оперативно-диспетчерскому управлению в электроэнергетике</w:t>
      </w:r>
    </w:p>
    <w:p>
      <w:pPr>
        <w:pStyle w:val="0"/>
        <w:jc w:val="center"/>
      </w:pPr>
      <w:r>
        <w:rPr>
          <w:sz w:val="20"/>
        </w:rPr>
        <w:t xml:space="preserve">субъектами оперативно-диспетчерского управления </w:t>
      </w:r>
      <w:hyperlink w:history="0" w:anchor="P1747" w:tooltip="&lt;*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организации: ______________________________________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ИНН: 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КПП: 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9"/>
        <w:gridCol w:w="5427"/>
        <w:gridCol w:w="1134"/>
        <w:gridCol w:w="850"/>
        <w:gridCol w:w="851"/>
        <w:gridCol w:w="1382"/>
      </w:tblGrid>
      <w:tr>
        <w:tc>
          <w:tcPr>
            <w:tcW w:w="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382" w:type="dxa"/>
            <w:vMerge w:val="restart"/>
          </w:tcPr>
          <w:bookmarkStart w:id="1551" w:name="P1551"/>
          <w:bookmarkEnd w:id="1551"/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 </w:t>
            </w:r>
            <w:hyperlink w:history="0" w:anchor="P1753" w:tooltip="&lt;****&gt;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bookmarkStart w:id="1552" w:name="P1552"/>
          <w:bookmarkEnd w:id="1552"/>
          <w:p>
            <w:pPr>
              <w:pStyle w:val="0"/>
              <w:jc w:val="center"/>
            </w:pPr>
            <w:r>
              <w:rPr>
                <w:sz w:val="20"/>
              </w:rPr>
              <w:t xml:space="preserve">план </w:t>
            </w:r>
            <w:hyperlink w:history="0" w:anchor="P1751" w:tooltip="&lt;*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 </w:t>
            </w:r>
            <w:hyperlink w:history="0" w:anchor="P1752" w:tooltip="&lt;*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729" w:type="dxa"/>
            <w:vAlign w:val="center"/>
          </w:tcPr>
          <w:bookmarkStart w:id="1554" w:name="P1554"/>
          <w:bookmarkEnd w:id="1554"/>
          <w:p>
            <w:pPr>
              <w:pStyle w:val="0"/>
              <w:jc w:val="center"/>
            </w:pPr>
            <w:r>
              <w:rPr>
                <w:sz w:val="20"/>
              </w:rPr>
              <w:t xml:space="preserve">I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Расходы, связанные с производством и реализацией,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Материальные расходы, всего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bookmarkStart w:id="1566" w:name="P1566"/>
          <w:bookmarkEnd w:id="1566"/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оплату труда и отчисления на социальные нужды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bookmarkStart w:id="1578" w:name="P1578"/>
          <w:bookmarkEnd w:id="1578"/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на ремонт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bookmarkStart w:id="1596" w:name="P1596"/>
          <w:bookmarkEnd w:id="1596"/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ремонт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сторонних организаций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арендная плата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налоги, пошлины и сборы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прочие расходы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5"/>
            <w:tcW w:w="9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</w:t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организацию и оплату услуг по обеспечению системной надежности,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54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на оплату услуг по нормированному первичному регулированию частоты (конкурентный отбор)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54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на оплату услуг по автоматическому вторичному регулированию частоты и перетоков активной мощности (конкурентный отбор)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5427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расходы на оплату услуг по регулированию реактивной мощности без производства электрической энергии (запрос предложений о готовности оказывать услуги или путем заключения договора с единственным возможным исполнителем услуг)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54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расходы на оплату услуг по управлению спросом на электрическую энергию субъектами электроэнергетики и потребителями электрической энергии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5"/>
            <w:tcW w:w="96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</w:t>
            </w:r>
          </w:p>
        </w:tc>
      </w:tr>
      <w:tr>
        <w:tc>
          <w:tcPr>
            <w:tcW w:w="729" w:type="dxa"/>
            <w:vAlign w:val="center"/>
          </w:tcPr>
          <w:bookmarkStart w:id="1660" w:name="P1660"/>
          <w:bookmarkEnd w:id="1660"/>
          <w:p>
            <w:pPr>
              <w:pStyle w:val="0"/>
              <w:jc w:val="center"/>
            </w:pPr>
            <w:r>
              <w:rPr>
                <w:sz w:val="20"/>
              </w:rPr>
              <w:t xml:space="preserve">II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Внереализационные расходы, всего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bookmarkStart w:id="1666" w:name="P1666"/>
          <w:bookmarkEnd w:id="1666"/>
          <w:p>
            <w:pPr>
              <w:pStyle w:val="0"/>
              <w:jc w:val="center"/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расходов (</w:t>
            </w:r>
            <w:hyperlink w:history="0" w:anchor="P1554" w:tooltip="I">
              <w:r>
                <w:rPr>
                  <w:sz w:val="20"/>
                  <w:color w:val="0000ff"/>
                </w:rPr>
                <w:t xml:space="preserve">п. I</w:t>
              </w:r>
            </w:hyperlink>
            <w:r>
              <w:rPr>
                <w:sz w:val="20"/>
              </w:rPr>
              <w:t xml:space="preserve"> + </w:t>
            </w:r>
            <w:hyperlink w:history="0" w:anchor="P1660" w:tooltip="II">
              <w:r>
                <w:rPr>
                  <w:sz w:val="20"/>
                  <w:color w:val="0000ff"/>
                </w:rPr>
                <w:t xml:space="preserve">п. II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bookmarkStart w:id="1672" w:name="P1672"/>
          <w:bookmarkEnd w:id="1672"/>
          <w:p>
            <w:pPr>
              <w:pStyle w:val="0"/>
              <w:jc w:val="center"/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Налогооблагаемая прибыль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Нераспределенная прибыль,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из прибыли до распределения,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</w:t>
            </w:r>
          </w:p>
        </w:tc>
        <w:tc>
          <w:tcPr>
            <w:tcW w:w="5427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Выпадающие/излишние доходы/(расходы) прошлых лет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всего, в том числе: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</w:t>
            </w:r>
          </w:p>
        </w:tc>
        <w:tc>
          <w:tcPr>
            <w:tcW w:w="54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Возврат заемных средств на цели инвестпрограммы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Дивиденды по акциям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Капитальные вложения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 из прибыли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Необходимая валовая выручка (</w:t>
            </w:r>
            <w:hyperlink w:history="0" w:anchor="P1666" w:tooltip="III">
              <w:r>
                <w:rPr>
                  <w:sz w:val="20"/>
                  <w:color w:val="0000ff"/>
                </w:rPr>
                <w:t xml:space="preserve">п. III</w:t>
              </w:r>
            </w:hyperlink>
            <w:r>
              <w:rPr>
                <w:sz w:val="20"/>
              </w:rPr>
              <w:t xml:space="preserve"> + </w:t>
            </w:r>
            <w:hyperlink w:history="0" w:anchor="P1672" w:tooltip="IV">
              <w:r>
                <w:rPr>
                  <w:sz w:val="20"/>
                  <w:color w:val="0000ff"/>
                </w:rPr>
                <w:t xml:space="preserve">п. IV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VI</w:t>
            </w:r>
          </w:p>
        </w:tc>
        <w:tc>
          <w:tcPr>
            <w:tcW w:w="5427" w:type="dxa"/>
          </w:tcPr>
          <w:p>
            <w:pPr>
              <w:pStyle w:val="0"/>
            </w:pPr>
            <w:r>
              <w:rPr>
                <w:sz w:val="20"/>
              </w:rPr>
              <w:t xml:space="preserve">Справочно: расходы на ремонт, всего (</w:t>
            </w:r>
            <w:hyperlink w:history="0" w:anchor="P1566" w:tooltip="1.1">
              <w:r>
                <w:rPr>
                  <w:sz w:val="20"/>
                  <w:color w:val="0000ff"/>
                </w:rPr>
                <w:t xml:space="preserve">п. 1.1</w:t>
              </w:r>
            </w:hyperlink>
            <w:r>
              <w:rPr>
                <w:sz w:val="20"/>
              </w:rPr>
              <w:t xml:space="preserve"> + </w:t>
            </w:r>
            <w:hyperlink w:history="0" w:anchor="P1578" w:tooltip="2.1">
              <w:r>
                <w:rPr>
                  <w:sz w:val="20"/>
                  <w:color w:val="0000ff"/>
                </w:rPr>
                <w:t xml:space="preserve">п. 2.1</w:t>
              </w:r>
            </w:hyperlink>
            <w:r>
              <w:rPr>
                <w:sz w:val="20"/>
              </w:rPr>
              <w:t xml:space="preserve"> + </w:t>
            </w:r>
            <w:hyperlink w:history="0" w:anchor="P1596" w:tooltip="4.1">
              <w:r>
                <w:rPr>
                  <w:sz w:val="20"/>
                  <w:color w:val="0000ff"/>
                </w:rPr>
                <w:t xml:space="preserve">п. 4.1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2"/>
          <w:headerReference w:type="first" r:id="rId22"/>
          <w:footerReference w:type="default" r:id="rId23"/>
          <w:footerReference w:type="first" r:id="rId2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747" w:name="P1747"/>
    <w:bookmarkEnd w:id="174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 части организации отбора исполнителей и оплаты услуг по обеспечению системной надежности.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Системный оператор электроэнергетических систем России помимо указанных сведений раскрывает информацию о структуре и объемах затрат в части осуществления проектирования энергетических систем.</w:t>
      </w:r>
    </w:p>
    <w:bookmarkStart w:id="1751" w:name="P1751"/>
    <w:bookmarkEnd w:id="175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&lt;**&gt;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</w:t>
      </w:r>
      <w:hyperlink w:history="0" w:anchor="P1552" w:tooltip="план &lt;*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&lt;план&gt; указываются соответствующие значения.</w:t>
      </w:r>
    </w:p>
    <w:bookmarkStart w:id="1752" w:name="P1752"/>
    <w:bookmarkEnd w:id="175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</w:t>
      </w:r>
    </w:p>
    <w:bookmarkStart w:id="1753" w:name="P1753"/>
    <w:bookmarkEnd w:id="175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&lt;****&gt; При наличии отклонений фактических значений показателей от плановых значений более чем на 15 процентов в </w:t>
      </w:r>
      <w:hyperlink w:history="0" w:anchor="P1551" w:tooltip="Примечание &lt;****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&lt;Примечание&gt; указываются причины их возникновения.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значении частоты электрического тока в Единой</w:t>
      </w:r>
    </w:p>
    <w:p>
      <w:pPr>
        <w:pStyle w:val="0"/>
        <w:jc w:val="center"/>
      </w:pPr>
      <w:r>
        <w:rPr>
          <w:sz w:val="20"/>
        </w:rPr>
        <w:t xml:space="preserve">энергетической системе России в течение суток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организации: _______________________________________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ИНН: __________________________________________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КПП: 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9"/>
        <w:gridCol w:w="4995"/>
        <w:gridCol w:w="1007"/>
        <w:gridCol w:w="1470"/>
        <w:gridCol w:w="1488"/>
      </w:tblGrid>
      <w:tr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0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</w:t>
            </w:r>
          </w:p>
        </w:tc>
        <w:tc>
          <w:tcPr>
            <w:tcW w:w="1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Нормативное значение</w:t>
            </w:r>
          </w:p>
        </w:tc>
      </w:tr>
      <w:tr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95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Количество времени в сутки возникновения отклонения фактического уровня частоты от нормально допустимого уровня частоты (50 </w:t>
            </w:r>
            <w:r>
              <w:rPr>
                <w:position w:val="-1"/>
              </w:rPr>
              <w:drawing>
                <wp:inline distT="0" distB="0" distL="0" distR="0">
                  <wp:extent cx="145415" cy="1511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0,2 Гц)</w:t>
            </w:r>
          </w:p>
        </w:tc>
        <w:tc>
          <w:tcPr>
            <w:tcW w:w="10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сек.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4320 сек.</w:t>
            </w:r>
          </w:p>
        </w:tc>
      </w:tr>
      <w:tr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995" w:type="dxa"/>
          </w:tcPr>
          <w:p>
            <w:pPr>
              <w:pStyle w:val="0"/>
              <w:ind w:firstLine="5"/>
              <w:jc w:val="both"/>
            </w:pPr>
            <w:r>
              <w:rPr>
                <w:sz w:val="20"/>
              </w:rPr>
              <w:t xml:space="preserve">Количество времени в сутки возникновения отклонения фактического уровня частоты от предельно допустимого уровня частоты (50 </w:t>
            </w:r>
            <w:r>
              <w:rPr>
                <w:position w:val="-1"/>
              </w:rPr>
              <w:drawing>
                <wp:inline distT="0" distB="0" distL="0" distR="0">
                  <wp:extent cx="145415" cy="1511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0,4 Гц)</w:t>
            </w:r>
          </w:p>
        </w:tc>
        <w:tc>
          <w:tcPr>
            <w:tcW w:w="10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сек.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сек.</w:t>
            </w:r>
          </w:p>
        </w:tc>
      </w:tr>
      <w:tr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995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Максимальное отклонение фактического значения частоты от предельно допустимого уровня частоты (50 </w:t>
            </w:r>
            <w:r>
              <w:rPr>
                <w:position w:val="-1"/>
              </w:rPr>
              <w:drawing>
                <wp:inline distT="0" distB="0" distL="0" distR="0">
                  <wp:extent cx="145415" cy="1511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0,4 Гц)</w:t>
            </w:r>
          </w:p>
        </w:tc>
        <w:tc>
          <w:tcPr>
            <w:tcW w:w="10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Гц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995" w:type="dxa"/>
          </w:tcPr>
          <w:p>
            <w:pPr>
              <w:pStyle w:val="0"/>
              <w:ind w:firstLine="10"/>
              <w:jc w:val="both"/>
            </w:pPr>
            <w:r>
              <w:rPr>
                <w:sz w:val="20"/>
              </w:rPr>
              <w:t xml:space="preserve">Продолжительность отклонения фактического значения уровня частоты от предельно допустимого уровня частоты (50 </w:t>
            </w:r>
            <w:r>
              <w:rPr>
                <w:position w:val="-1"/>
              </w:rPr>
              <w:drawing>
                <wp:inline distT="0" distB="0" distL="0" distR="0">
                  <wp:extent cx="145415" cy="1511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0,4 Гц)</w:t>
            </w:r>
          </w:p>
        </w:tc>
        <w:tc>
          <w:tcPr>
            <w:tcW w:w="10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сек.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перечне субъектов электроэнергетики, осуществляющих</w:t>
      </w:r>
    </w:p>
    <w:p>
      <w:pPr>
        <w:pStyle w:val="0"/>
        <w:jc w:val="center"/>
      </w:pPr>
      <w:r>
        <w:rPr>
          <w:sz w:val="20"/>
        </w:rPr>
        <w:t xml:space="preserve">оказание услуг по формированию технологического</w:t>
      </w:r>
    </w:p>
    <w:p>
      <w:pPr>
        <w:pStyle w:val="0"/>
        <w:jc w:val="center"/>
      </w:pPr>
      <w:r>
        <w:rPr>
          <w:sz w:val="20"/>
        </w:rPr>
        <w:t xml:space="preserve">резерва мощностей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1 января 2023 года. - </w:t>
      </w:r>
      <w:hyperlink w:history="0" r:id="rId25" w:tooltip="Приказ ФАС России от 11.11.2022 N 799/22 &quot;О внесении изменений в приказ ФСТ России от 24 октября 2014 г. N 1831-э &quot;Об утверждении форм раскрытия информации субъектами рынков электрической энергии и мощности, являющимися субъектами естественных монополий&quot; и признании утратившим силу приказа ФСТ России от 20 мая 2011 г. N 220-э &quot;Об утверждении единого для всех инвестиционных проектов по формированию перспективного технологического резерва мощностей по производству электрической энергии показателя доходности к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ФАС России от 11.11.2022 N 799/22.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9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тарифам</w:t>
      </w:r>
    </w:p>
    <w:p>
      <w:pPr>
        <w:pStyle w:val="0"/>
        <w:jc w:val="right"/>
      </w:pPr>
      <w:r>
        <w:rPr>
          <w:sz w:val="20"/>
        </w:rPr>
        <w:t xml:space="preserve">от 24 октября 2014 г. N 1831-э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риказ ФАС России от 11.11.2022 N 799/22 &quot;О внесении изменений в приказ ФСТ России от 24 октября 2014 г. N 1831-э &quot;Об утверждении форм раскрытия информации субъектами рынков электрической энергии и мощности, являющимися субъектами естественных монополий&quot; и признании утратившим силу приказа ФСТ России от 20 мая 2011 г. N 220-э &quot;Об утверждении единого для всех инвестиционных проектов по формированию перспективного технологического резерва мощностей по производству электрической энергии показателя доходности к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ФАС России от 11.11.2022 N 799/22)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821" w:name="P1821"/>
    <w:bookmarkEnd w:id="1821"/>
    <w:p>
      <w:pPr>
        <w:pStyle w:val="0"/>
        <w:jc w:val="center"/>
      </w:pPr>
      <w:r>
        <w:rPr>
          <w:sz w:val="20"/>
        </w:rPr>
        <w:t xml:space="preserve">Форма раскрытия информации</w:t>
      </w:r>
    </w:p>
    <w:p>
      <w:pPr>
        <w:pStyle w:val="0"/>
        <w:jc w:val="center"/>
      </w:pPr>
      <w:r>
        <w:rPr>
          <w:sz w:val="20"/>
        </w:rPr>
        <w:t xml:space="preserve">о перечне субъектов электроэнергетики и потребителей</w:t>
      </w:r>
    </w:p>
    <w:p>
      <w:pPr>
        <w:pStyle w:val="0"/>
        <w:jc w:val="center"/>
      </w:pPr>
      <w:r>
        <w:rPr>
          <w:sz w:val="20"/>
        </w:rPr>
        <w:t xml:space="preserve">электрической энергии, осуществляющих оказание услуг</w:t>
      </w:r>
    </w:p>
    <w:p>
      <w:pPr>
        <w:pStyle w:val="0"/>
        <w:jc w:val="center"/>
      </w:pPr>
      <w:r>
        <w:rPr>
          <w:sz w:val="20"/>
        </w:rPr>
        <w:t xml:space="preserve">по обеспечению системной надежности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организации: ______________________________________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ИНН: _____________________________________</w:t>
      </w:r>
    </w:p>
    <w:p>
      <w:pPr>
        <w:pStyle w:val="0"/>
        <w:spacing w:before="200" w:lineRule="auto"/>
        <w:jc w:val="both"/>
      </w:pPr>
      <w:r>
        <w:rPr>
          <w:sz w:val="20"/>
        </w:rPr>
        <w:t xml:space="preserve">КПП: 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03"/>
        <w:gridCol w:w="1434"/>
        <w:gridCol w:w="1418"/>
        <w:gridCol w:w="1134"/>
        <w:gridCol w:w="992"/>
        <w:gridCol w:w="1472"/>
        <w:gridCol w:w="1862"/>
        <w:gridCol w:w="1414"/>
      </w:tblGrid>
      <w:tr>
        <w:tc>
          <w:tcPr>
            <w:tcW w:w="16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- исполнителя услуг</w:t>
            </w:r>
          </w:p>
        </w:tc>
        <w:tc>
          <w:tcPr>
            <w:tcW w:w="1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объектов электроэнергетики, с использованием которых оказываются услуги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объектов электроэнергетики, с использованием которых оказываются услуги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Зоны оказания услуг (для НПРЧ и АВРЧМ)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оказания услуги</w:t>
            </w:r>
          </w:p>
        </w:tc>
        <w:tc>
          <w:tcPr>
            <w:tcW w:w="14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оказываемой услуги (для НПРЧ и АВРЧМ в час </w:t>
            </w:r>
            <w:hyperlink w:history="0" w:anchor="P1877" w:tooltip="&lt;*&gt; При определении исполнителя по итогам отборов способами, предусмотренными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..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МВт, для РРМ в ч, для РСПУ - ед.)</w:t>
            </w:r>
          </w:p>
        </w:tc>
        <w:tc>
          <w:tcPr>
            <w:tcW w:w="1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Цены на услуги по обеспечению системной надежности (для НПРЧ и АВРЧМ - руб./час </w:t>
            </w:r>
            <w:hyperlink w:history="0" w:anchor="P1877" w:tooltip="&lt;*&gt; При определении исполнителя по итогам отборов способами, предусмотренными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..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МВт, для РРМ - руб./ч, для РСПУ - руб.)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отбора исполнителя услуг и основания оказания услуг </w:t>
            </w:r>
            <w:hyperlink w:history="0" w:anchor="P1877" w:tooltip="&lt;*&gt; При определении исполнителя по итогам отборов способами, предусмотренными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8"/>
            <w:tcW w:w="113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Нормированное первичное регулирование частоты (НПРЧ)</w:t>
            </w:r>
          </w:p>
        </w:tc>
      </w:tr>
      <w:tr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3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Автоматическое вторичное регулирование частоты (АВРЧМ)</w:t>
            </w:r>
          </w:p>
        </w:tc>
      </w:tr>
      <w:tr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3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Регулирование реактивной мощности без производства электрической энергии (РРМ)</w:t>
            </w:r>
          </w:p>
        </w:tc>
      </w:tr>
      <w:tr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3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Управление спросом на электрическую энергию (УС)</w:t>
            </w:r>
          </w:p>
        </w:tc>
      </w:tr>
      <w:tr>
        <w:tc>
          <w:tcPr>
            <w:tcW w:w="1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2"/>
          <w:headerReference w:type="first" r:id="rId22"/>
          <w:footerReference w:type="default" r:id="rId23"/>
          <w:footerReference w:type="first" r:id="rId2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Примечание:</w:t>
      </w:r>
    </w:p>
    <w:bookmarkStart w:id="1877" w:name="P1877"/>
    <w:bookmarkEnd w:id="187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При определении исполнителя по итогам отборов способами, предусмотренными </w:t>
      </w:r>
      <w:hyperlink w:history="0" r:id="rId27" w:tooltip="Постановление Правительства РФ от 03.03.2010 N 117 (ред. от 26.01.2023) &quot;О порядке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а также об утверждении изменений, которые вносятся в акты Правительства Российской Федерации по вопросам оказания услуг по обеспечению системной надежности&quot; (вместе с &quot;Правилами отбора субъектов электроэнергетики и потребителей электрической энергии, оказывающих услуги по обе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1333; 2011, N 14, ст. 1916; 2012, N 44, ст. 6022), указываются реквизиты протокола о составе субъектов электроэнергетики, оказывающих соответствующие услуги по обеспечению системной надежности, в случае определения системным оператором объектов по производству электрической энергии, в силу технологических особенностей работы которых для их собственников или иных законных владельцев Федеральным </w:t>
      </w:r>
      <w:hyperlink w:history="0" r:id="rId28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2014, N 16, ст. 1840; N 30 (часть I), ст. 4218) установлена обязанность по оказанию услуг по обеспечению системной надежности, указываются реквизиты актов регулирующего органа об утверждении цен (тарифов) на соответствующие услуги по обеспечению системной надежности.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Перечень поставщиков мощности, ценовые заявки</w:t>
      </w:r>
    </w:p>
    <w:p>
      <w:pPr>
        <w:pStyle w:val="0"/>
        <w:jc w:val="center"/>
      </w:pPr>
      <w:r>
        <w:rPr>
          <w:sz w:val="20"/>
        </w:rPr>
        <w:t xml:space="preserve">которых отобраны по итогам конкурентного отбора мощности</w:t>
      </w:r>
    </w:p>
    <w:p>
      <w:pPr>
        <w:pStyle w:val="0"/>
        <w:jc w:val="center"/>
      </w:pPr>
      <w:r>
        <w:rPr>
          <w:sz w:val="20"/>
        </w:rPr>
        <w:t xml:space="preserve">на ____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1"/>
        <w:gridCol w:w="8918"/>
      </w:tblGrid>
      <w:tr>
        <w:tc>
          <w:tcPr>
            <w:tcW w:w="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Поставщик мощности</w:t>
            </w:r>
          </w:p>
        </w:tc>
      </w:tr>
      <w:tr>
        <w:tc>
          <w:tcPr>
            <w:tcW w:w="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Перечень электростанций, полностью или частично отобранных</w:t>
      </w:r>
    </w:p>
    <w:p>
      <w:pPr>
        <w:pStyle w:val="0"/>
        <w:jc w:val="center"/>
      </w:pPr>
      <w:r>
        <w:rPr>
          <w:sz w:val="20"/>
        </w:rPr>
        <w:t xml:space="preserve">по итогам конкурентного отбора мощности на ____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2"/>
        <w:gridCol w:w="2833"/>
        <w:gridCol w:w="1812"/>
        <w:gridCol w:w="4282"/>
      </w:tblGrid>
      <w:tr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Электростанция</w:t>
            </w:r>
          </w:p>
        </w:tc>
        <w:tc>
          <w:tcPr>
            <w:tcW w:w="1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Электростанция</w:t>
            </w:r>
          </w:p>
        </w:tc>
      </w:tr>
      <w:tr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ФСТ России от 24.10.2014 N 1831-э</w:t>
            <w:br/>
            <w:t>(ред. от 11.11.2022)</w:t>
            <w:br/>
            <w:t>"Об утверждении форм раскрытия информации субъектами рынко...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ФСТ России от 24.10.2014 N 1831-э</w:t>
            <w:br/>
            <w:t>(ред. от 11.11.2022)</w:t>
            <w:br/>
            <w:t>"Об утверждении форм раскрытия информации субъектами рынко...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32549&amp;dst=100006" TargetMode = "External"/><Relationship Id="rId9" Type="http://schemas.openxmlformats.org/officeDocument/2006/relationships/hyperlink" Target="https://login.consultant.ru/link/?req=doc&amp;base=LAW&amp;n=482766&amp;dst=100223" TargetMode = "External"/><Relationship Id="rId10" Type="http://schemas.openxmlformats.org/officeDocument/2006/relationships/hyperlink" Target="https://login.consultant.ru/link/?req=doc&amp;base=LAW&amp;n=167313&amp;dst=1" TargetMode = "External"/><Relationship Id="rId11" Type="http://schemas.openxmlformats.org/officeDocument/2006/relationships/hyperlink" Target="https://login.consultant.ru/link/?req=doc&amp;base=LAW&amp;n=494668&amp;dst=261" TargetMode = "External"/><Relationship Id="rId12" Type="http://schemas.openxmlformats.org/officeDocument/2006/relationships/hyperlink" Target="https://login.consultant.ru/link/?req=doc&amp;base=LAW&amp;n=499200&amp;dst=100047" TargetMode = "External"/><Relationship Id="rId13" Type="http://schemas.openxmlformats.org/officeDocument/2006/relationships/hyperlink" Target="https://login.consultant.ru/link/?req=doc&amp;base=LAW&amp;n=177300&amp;dst=45" TargetMode = "External"/><Relationship Id="rId14" Type="http://schemas.openxmlformats.org/officeDocument/2006/relationships/hyperlink" Target="https://login.consultant.ru/link/?req=doc&amp;base=LAW&amp;n=112965" TargetMode = "External"/><Relationship Id="rId15" Type="http://schemas.openxmlformats.org/officeDocument/2006/relationships/hyperlink" Target="https://login.consultant.ru/link/?req=doc&amp;base=LAW&amp;n=499200&amp;dst=100187" TargetMode = "External"/><Relationship Id="rId16" Type="http://schemas.openxmlformats.org/officeDocument/2006/relationships/hyperlink" Target="https://login.consultant.ru/link/?req=doc&amp;base=LAW&amp;n=502962&amp;dst=13" TargetMode = "External"/><Relationship Id="rId17" Type="http://schemas.openxmlformats.org/officeDocument/2006/relationships/hyperlink" Target="https://login.consultant.ru/link/?req=doc&amp;base=LAW&amp;n=499200&amp;dst=100187" TargetMode = "External"/><Relationship Id="rId18" Type="http://schemas.openxmlformats.org/officeDocument/2006/relationships/hyperlink" Target="https://login.consultant.ru/link/?req=doc&amp;base=LAW&amp;n=502962&amp;dst=13" TargetMode = "External"/><Relationship Id="rId19" Type="http://schemas.openxmlformats.org/officeDocument/2006/relationships/hyperlink" Target="https://login.consultant.ru/link/?req=doc&amp;base=LAW&amp;n=499200&amp;dst=100187" TargetMode = "External"/><Relationship Id="rId20" Type="http://schemas.openxmlformats.org/officeDocument/2006/relationships/hyperlink" Target="https://login.consultant.ru/link/?req=doc&amp;base=LAW&amp;n=502962&amp;dst=13" TargetMode = "External"/><Relationship Id="rId21" Type="http://schemas.openxmlformats.org/officeDocument/2006/relationships/hyperlink" Target="https://login.consultant.ru/link/?req=doc&amp;base=LAW&amp;n=432549&amp;dst=100013" TargetMode = "External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image" Target="media/image2.wmf"/><Relationship Id="rId25" Type="http://schemas.openxmlformats.org/officeDocument/2006/relationships/hyperlink" Target="https://login.consultant.ru/link/?req=doc&amp;base=LAW&amp;n=432549&amp;dst=100036" TargetMode = "External"/><Relationship Id="rId26" Type="http://schemas.openxmlformats.org/officeDocument/2006/relationships/hyperlink" Target="https://login.consultant.ru/link/?req=doc&amp;base=LAW&amp;n=432549&amp;dst=100037" TargetMode = "External"/><Relationship Id="rId27" Type="http://schemas.openxmlformats.org/officeDocument/2006/relationships/hyperlink" Target="https://login.consultant.ru/link/?req=doc&amp;base=LAW&amp;n=438447&amp;dst=100015" TargetMode = "External"/><Relationship Id="rId28" Type="http://schemas.openxmlformats.org/officeDocument/2006/relationships/hyperlink" Target="https://login.consultant.ru/link/?req=doc&amp;base=LAW&amp;n=483415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ФСТ России от 24.10.2014 N 1831-э
(ред. от 11.11.2022)
"Об утверждении форм раскрытия информации субъектами рынков электрической энергии и мощности, являющимися субъектами естественных монополий"
(Зарегистрировано в Минюсте России 13.01.2015 N 35535)</dc:title>
  <dcterms:created xsi:type="dcterms:W3CDTF">2025-08-22T08:45:49Z</dcterms:created>
</cp:coreProperties>
</file>