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ФСТ России от 27.12.2013 N 1746-э</w:t>
              <w:br/>
              <w:t xml:space="preserve">(ред. от 15.07.2024)</w:t>
              <w:br/>
              <w:t xml:space="preserve">"Об утверждении Методических указаний по расчету регулируемых тарифов в сфере водоснабжения и водоотведения"</w:t>
              <w:br/>
              <w:t xml:space="preserve">(Зарегистрировано в Минюсте России 25.02.2014 N 31412)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февраля 2014 г. N 31412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ФЕДЕРАЛЬНАЯ СЛУЖБА ПО ТАРИФАМ</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декабря 2013 г. N 1746-э</w:t>
      </w:r>
    </w:p>
    <w:p>
      <w:pPr>
        <w:pStyle w:val="2"/>
        <w:jc w:val="center"/>
      </w:pPr>
      <w:r>
        <w:rPr>
          <w:sz w:val="20"/>
        </w:rPr>
      </w:r>
    </w:p>
    <w:p>
      <w:pPr>
        <w:pStyle w:val="2"/>
        <w:jc w:val="center"/>
      </w:pPr>
      <w:r>
        <w:rPr>
          <w:sz w:val="20"/>
        </w:rPr>
        <w:t xml:space="preserve">ОБ УТВЕРЖДЕНИИ МЕТОДИЧЕСКИХ УКАЗАНИЙ</w:t>
      </w:r>
    </w:p>
    <w:p>
      <w:pPr>
        <w:pStyle w:val="2"/>
        <w:jc w:val="center"/>
      </w:pPr>
      <w:r>
        <w:rPr>
          <w:sz w:val="20"/>
        </w:rPr>
        <w:t xml:space="preserve">ПО РАСЧЕТУ РЕГУЛИРУЕМЫХ ТАРИФОВ В СФЕРЕ ВОДОСНАБЖЕНИЯ</w:t>
      </w:r>
    </w:p>
    <w:p>
      <w:pPr>
        <w:pStyle w:val="2"/>
        <w:jc w:val="center"/>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ФСТ России от 24.11.2014 </w:t>
            </w:r>
            <w:hyperlink w:history="0" r:id="rId8"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N 2054-э</w:t>
              </w:r>
            </w:hyperlink>
            <w:r>
              <w:rPr>
                <w:sz w:val="20"/>
                <w:color w:val="392c69"/>
              </w:rPr>
              <w:t xml:space="preserve">, от 27.05.2015 </w:t>
            </w:r>
            <w:hyperlink w:history="0" r:id="rId9" w:tooltip="Приказ ФСТ России от 27.05.2015 N 1080-Э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0.07.2015 N 37985) {КонсультантПлюс}">
              <w:r>
                <w:rPr>
                  <w:sz w:val="20"/>
                  <w:color w:val="0000ff"/>
                </w:rPr>
                <w:t xml:space="preserve">N 1080-Э</w:t>
              </w:r>
            </w:hyperlink>
            <w:r>
              <w:rPr>
                <w:sz w:val="20"/>
                <w:color w:val="392c69"/>
              </w:rPr>
              <w:t xml:space="preserve">,</w:t>
            </w:r>
          </w:p>
          <w:p>
            <w:pPr>
              <w:pStyle w:val="0"/>
              <w:jc w:val="center"/>
            </w:pPr>
            <w:r>
              <w:rPr>
                <w:sz w:val="20"/>
                <w:color w:val="392c69"/>
              </w:rPr>
              <w:t xml:space="preserve">Приказов ФАС России от 30.06.2017 </w:t>
            </w:r>
            <w:hyperlink w:history="0" r:id="rId10"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N 868/17</w:t>
              </w:r>
            </w:hyperlink>
            <w:r>
              <w:rPr>
                <w:sz w:val="20"/>
                <w:color w:val="392c69"/>
              </w:rPr>
              <w:t xml:space="preserve">, от 29.08.2017 </w:t>
            </w:r>
            <w:hyperlink w:history="0" r:id="rId11" w:tooltip="Приказ ФАС России от 29.08.2017 N 1130/17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1.09.2017 N 48267) {КонсультантПлюс}">
              <w:r>
                <w:rPr>
                  <w:sz w:val="20"/>
                  <w:color w:val="0000ff"/>
                </w:rPr>
                <w:t xml:space="preserve">N 1130/17</w:t>
              </w:r>
            </w:hyperlink>
            <w:r>
              <w:rPr>
                <w:sz w:val="20"/>
                <w:color w:val="392c69"/>
              </w:rPr>
              <w:t xml:space="preserve">,</w:t>
            </w:r>
          </w:p>
          <w:p>
            <w:pPr>
              <w:pStyle w:val="0"/>
              <w:jc w:val="center"/>
            </w:pPr>
            <w:r>
              <w:rPr>
                <w:sz w:val="20"/>
                <w:color w:val="392c69"/>
              </w:rPr>
              <w:t xml:space="preserve">от 29.08.2018 </w:t>
            </w:r>
            <w:hyperlink w:history="0" r:id="rId12" w:tooltip="Приказ ФАС России от 29.08.2018 N 1216/18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9.2018 N 52252) {КонсультантПлюс}">
              <w:r>
                <w:rPr>
                  <w:sz w:val="20"/>
                  <w:color w:val="0000ff"/>
                </w:rPr>
                <w:t xml:space="preserve">N 1216/18</w:t>
              </w:r>
            </w:hyperlink>
            <w:r>
              <w:rPr>
                <w:sz w:val="20"/>
                <w:color w:val="392c69"/>
              </w:rPr>
              <w:t xml:space="preserve">, от 29.10.2019 </w:t>
            </w:r>
            <w:hyperlink w:history="0" r:id="rId13"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N 1438/19</w:t>
              </w:r>
            </w:hyperlink>
            <w:r>
              <w:rPr>
                <w:sz w:val="20"/>
                <w:color w:val="392c69"/>
              </w:rPr>
              <w:t xml:space="preserve">, от 08.10.2020 </w:t>
            </w:r>
            <w:hyperlink w:history="0" r:id="rId14"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N 976/20</w:t>
              </w:r>
            </w:hyperlink>
            <w:r>
              <w:rPr>
                <w:sz w:val="20"/>
                <w:color w:val="392c69"/>
              </w:rPr>
              <w:t xml:space="preserve">,</w:t>
            </w:r>
          </w:p>
          <w:p>
            <w:pPr>
              <w:pStyle w:val="0"/>
              <w:jc w:val="center"/>
            </w:pPr>
            <w:r>
              <w:rPr>
                <w:sz w:val="20"/>
                <w:color w:val="392c69"/>
              </w:rPr>
              <w:t xml:space="preserve">от 11.03.2022 </w:t>
            </w:r>
            <w:hyperlink w:history="0" r:id="rId15" w:tooltip="Приказ ФАС России от 11.03.2022 N 201/22 &quot;О внесении изменений в некоторые приказы ФСТ России по вопросам регулируемых цен (тарифов) в сферах теплоснабжения, водоснабжения и водоотведения&quot; (Зарегистрировано в Минюсте России 06.04.2022 N 68093) {КонсультантПлюс}">
              <w:r>
                <w:rPr>
                  <w:sz w:val="20"/>
                  <w:color w:val="0000ff"/>
                </w:rPr>
                <w:t xml:space="preserve">N 201/22</w:t>
              </w:r>
            </w:hyperlink>
            <w:r>
              <w:rPr>
                <w:sz w:val="20"/>
                <w:color w:val="392c69"/>
              </w:rPr>
              <w:t xml:space="preserve">, от 11.05.2022 </w:t>
            </w:r>
            <w:hyperlink w:history="0" r:id="rId16" w:tooltip="Приказ ФАС России от 11.05.2022 N 350/22 &quot;О внесении изменений в приказы ФСТ России от 13 июня 2013 г. N 760-э и от 27 декабря 2013 г. N 1746-э&quot; (Зарегистрировано в Минюсте России 18.05.2022 N 68504) {КонсультантПлюс}">
              <w:r>
                <w:rPr>
                  <w:sz w:val="20"/>
                  <w:color w:val="0000ff"/>
                </w:rPr>
                <w:t xml:space="preserve">N 350/22</w:t>
              </w:r>
            </w:hyperlink>
            <w:r>
              <w:rPr>
                <w:sz w:val="20"/>
                <w:color w:val="392c69"/>
              </w:rPr>
              <w:t xml:space="preserve">, от 24.06.2022 </w:t>
            </w:r>
            <w:hyperlink w:history="0" r:id="rId17" w:tooltip="Приказ ФАС России от 24.06.2022 N 478/22 &quot;О внесении изменений в приказы ФСТ России от 13 июня 2013 г. N 760-э и от 27 декабря 2013 г. N 1746-э&quot; (Зарегистрировано в Минюсте России 05.07.2022 N 69141) {КонсультантПлюс}">
              <w:r>
                <w:rPr>
                  <w:sz w:val="20"/>
                  <w:color w:val="0000ff"/>
                </w:rPr>
                <w:t xml:space="preserve">N 478/22</w:t>
              </w:r>
            </w:hyperlink>
            <w:r>
              <w:rPr>
                <w:sz w:val="20"/>
                <w:color w:val="392c69"/>
              </w:rPr>
              <w:t xml:space="preserve">,</w:t>
            </w:r>
          </w:p>
          <w:p>
            <w:pPr>
              <w:pStyle w:val="0"/>
              <w:jc w:val="center"/>
            </w:pPr>
            <w:r>
              <w:rPr>
                <w:sz w:val="20"/>
                <w:color w:val="392c69"/>
              </w:rPr>
              <w:t xml:space="preserve">от 05.07.2022 </w:t>
            </w:r>
            <w:hyperlink w:history="0" r:id="rId18"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N 498/22</w:t>
              </w:r>
            </w:hyperlink>
            <w:r>
              <w:rPr>
                <w:sz w:val="20"/>
                <w:color w:val="392c69"/>
              </w:rPr>
              <w:t xml:space="preserve">, от 14.06.2023 </w:t>
            </w:r>
            <w:hyperlink w:history="0" r:id="rId19" w:tooltip="Приказ ФАС России от 14.06.2023 N 384/23 &quot;О внесении изменений в приказы ФСТ России от 13 июня 2013 г. N 760-э и от 27 декабря 2013 г. N 1746-э&quot; (Зарегистрировано в Минюсте России 28.08.2023 N 74987) {КонсультантПлюс}">
              <w:r>
                <w:rPr>
                  <w:sz w:val="20"/>
                  <w:color w:val="0000ff"/>
                </w:rPr>
                <w:t xml:space="preserve">N 384/23</w:t>
              </w:r>
            </w:hyperlink>
            <w:r>
              <w:rPr>
                <w:sz w:val="20"/>
                <w:color w:val="392c69"/>
              </w:rPr>
              <w:t xml:space="preserve">, от 27.05.2024 </w:t>
            </w:r>
            <w:hyperlink w:history="0" r:id="rId20" w:tooltip="Приказ ФАС России от 27.05.2024 N 363/24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 декабря 2013 г. N 1746-э&quot; (Зарегистрировано в Минюсте России 03.09.2024 N 79377) {КонсультантПлюс}">
              <w:r>
                <w:rPr>
                  <w:sz w:val="20"/>
                  <w:color w:val="0000ff"/>
                </w:rPr>
                <w:t xml:space="preserve">N 363/24</w:t>
              </w:r>
            </w:hyperlink>
            <w:r>
              <w:rPr>
                <w:sz w:val="20"/>
                <w:color w:val="392c69"/>
              </w:rPr>
              <w:t xml:space="preserve">,</w:t>
            </w:r>
          </w:p>
          <w:p>
            <w:pPr>
              <w:pStyle w:val="0"/>
              <w:jc w:val="center"/>
            </w:pPr>
            <w:r>
              <w:rPr>
                <w:sz w:val="20"/>
                <w:color w:val="392c69"/>
              </w:rPr>
              <w:t xml:space="preserve">от 15.07.2024 </w:t>
            </w:r>
            <w:hyperlink w:history="0" r:id="rId21"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N 473/24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22"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7 декабря 2011 г. N 416-ФЗ "О водоснабжении и водоотведении" (Собрание законодательства Российской Федерации, 2011, N 50, ст. 7358; 2012, N 53 (часть I), ст. 7614; ст. 7616; ст. 7643; 2013, N 19, ст. 2330; 2013, N 30 (часть I), ст. 4077), </w:t>
      </w:r>
      <w:hyperlink w:history="0" r:id="rId23"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постановлением</w:t>
        </w:r>
      </w:hyperlink>
      <w:r>
        <w:rPr>
          <w:sz w:val="20"/>
        </w:rPr>
        <w:t xml:space="preserve">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2013, N 32, ст. 4306) приказываю:</w:t>
      </w:r>
    </w:p>
    <w:p>
      <w:pPr>
        <w:pStyle w:val="0"/>
        <w:spacing w:before="200" w:lineRule="auto"/>
        <w:ind w:firstLine="540"/>
        <w:jc w:val="both"/>
      </w:pPr>
      <w:r>
        <w:rPr>
          <w:sz w:val="20"/>
        </w:rPr>
        <w:t xml:space="preserve">1. Утвердить прилагаемые Методические </w:t>
      </w:r>
      <w:hyperlink w:history="0" w:anchor="P37" w:tooltip="МЕТОДИЧЕСКИЕ УКАЗАНИЯ">
        <w:r>
          <w:rPr>
            <w:sz w:val="20"/>
            <w:color w:val="0000ff"/>
          </w:rPr>
          <w:t xml:space="preserve">указания</w:t>
        </w:r>
      </w:hyperlink>
      <w:r>
        <w:rPr>
          <w:sz w:val="20"/>
        </w:rPr>
        <w:t xml:space="preserve"> по расчету регулируемых тарифов в сфере водоснабжения и водоотведения.</w:t>
      </w:r>
    </w:p>
    <w:p>
      <w:pPr>
        <w:pStyle w:val="0"/>
        <w:spacing w:before="200" w:lineRule="auto"/>
        <w:ind w:firstLine="540"/>
        <w:jc w:val="both"/>
      </w:pPr>
      <w:r>
        <w:rPr>
          <w:sz w:val="20"/>
        </w:rPr>
        <w:t xml:space="preserve">2. Настоящий приказ действует до 1 марта 2029 г.</w:t>
      </w:r>
    </w:p>
    <w:p>
      <w:pPr>
        <w:pStyle w:val="0"/>
        <w:jc w:val="both"/>
      </w:pPr>
      <w:r>
        <w:rPr>
          <w:sz w:val="20"/>
        </w:rPr>
        <w:t xml:space="preserve">(п. 2 в ред. </w:t>
      </w:r>
      <w:hyperlink w:history="0" r:id="rId24" w:tooltip="Приказ ФАС России от 14.06.2023 N 384/23 &quot;О внесении изменений в приказы ФСТ России от 13 июня 2013 г. N 760-э и от 27 декабря 2013 г. N 1746-э&quot; (Зарегистрировано в Минюсте России 28.08.2023 N 74987) {КонсультантПлюс}">
        <w:r>
          <w:rPr>
            <w:sz w:val="20"/>
            <w:color w:val="0000ff"/>
          </w:rPr>
          <w:t xml:space="preserve">Приказа</w:t>
        </w:r>
      </w:hyperlink>
      <w:r>
        <w:rPr>
          <w:sz w:val="20"/>
        </w:rPr>
        <w:t xml:space="preserve"> ФАС России от 14.06.2023 N 384/23)</w:t>
      </w:r>
    </w:p>
    <w:p>
      <w:pPr>
        <w:pStyle w:val="0"/>
        <w:jc w:val="both"/>
      </w:pPr>
      <w:r>
        <w:rPr>
          <w:sz w:val="20"/>
        </w:rPr>
      </w:r>
    </w:p>
    <w:p>
      <w:pPr>
        <w:pStyle w:val="0"/>
        <w:jc w:val="right"/>
      </w:pPr>
      <w:r>
        <w:rPr>
          <w:sz w:val="20"/>
        </w:rPr>
        <w:t xml:space="preserve">Руководитель</w:t>
      </w:r>
    </w:p>
    <w:p>
      <w:pPr>
        <w:pStyle w:val="0"/>
        <w:jc w:val="right"/>
      </w:pPr>
      <w:r>
        <w:rPr>
          <w:sz w:val="20"/>
        </w:rPr>
        <w:t xml:space="preserve">Федеральной службы по тарифам</w:t>
      </w:r>
    </w:p>
    <w:p>
      <w:pPr>
        <w:pStyle w:val="0"/>
        <w:jc w:val="right"/>
      </w:pPr>
      <w:r>
        <w:rPr>
          <w:sz w:val="20"/>
        </w:rPr>
        <w:t xml:space="preserve">С.НОВИКОВ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ФСТ России</w:t>
      </w:r>
    </w:p>
    <w:p>
      <w:pPr>
        <w:pStyle w:val="0"/>
        <w:jc w:val="right"/>
      </w:pPr>
      <w:r>
        <w:rPr>
          <w:sz w:val="20"/>
        </w:rPr>
        <w:t xml:space="preserve">от ________ 2013 г. N ____</w:t>
      </w:r>
    </w:p>
    <w:p>
      <w:pPr>
        <w:pStyle w:val="0"/>
        <w:jc w:val="both"/>
      </w:pPr>
      <w:r>
        <w:rPr>
          <w:sz w:val="20"/>
        </w:rPr>
      </w:r>
    </w:p>
    <w:bookmarkStart w:id="37" w:name="P37"/>
    <w:bookmarkEnd w:id="37"/>
    <w:p>
      <w:pPr>
        <w:pStyle w:val="2"/>
        <w:jc w:val="center"/>
      </w:pPr>
      <w:r>
        <w:rPr>
          <w:sz w:val="20"/>
        </w:rPr>
        <w:t xml:space="preserve">МЕТОДИЧЕСКИЕ УКАЗАНИЯ</w:t>
      </w:r>
    </w:p>
    <w:p>
      <w:pPr>
        <w:pStyle w:val="2"/>
        <w:jc w:val="center"/>
      </w:pPr>
      <w:r>
        <w:rPr>
          <w:sz w:val="20"/>
        </w:rPr>
        <w:t xml:space="preserve">ПО РАСЧЕТУ РЕГУЛИРУЕМЫХ ТАРИФОВ В СФЕРЕ ВОДОСНАБЖЕНИЯ</w:t>
      </w:r>
    </w:p>
    <w:p>
      <w:pPr>
        <w:pStyle w:val="2"/>
        <w:jc w:val="center"/>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ФСТ России от 24.11.2014 </w:t>
            </w:r>
            <w:hyperlink w:history="0" r:id="rId25"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N 2054-э</w:t>
              </w:r>
            </w:hyperlink>
            <w:r>
              <w:rPr>
                <w:sz w:val="20"/>
                <w:color w:val="392c69"/>
              </w:rPr>
              <w:t xml:space="preserve">, от 27.05.2015 </w:t>
            </w:r>
            <w:hyperlink w:history="0" r:id="rId26" w:tooltip="Приказ ФСТ России от 27.05.2015 N 1080-Э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0.07.2015 N 37985) {КонсультантПлюс}">
              <w:r>
                <w:rPr>
                  <w:sz w:val="20"/>
                  <w:color w:val="0000ff"/>
                </w:rPr>
                <w:t xml:space="preserve">N 1080-Э</w:t>
              </w:r>
            </w:hyperlink>
            <w:r>
              <w:rPr>
                <w:sz w:val="20"/>
                <w:color w:val="392c69"/>
              </w:rPr>
              <w:t xml:space="preserve">,</w:t>
            </w:r>
          </w:p>
          <w:p>
            <w:pPr>
              <w:pStyle w:val="0"/>
              <w:jc w:val="center"/>
            </w:pPr>
            <w:r>
              <w:rPr>
                <w:sz w:val="20"/>
                <w:color w:val="392c69"/>
              </w:rPr>
              <w:t xml:space="preserve">Приказов ФАС России от 30.06.2017 </w:t>
            </w:r>
            <w:hyperlink w:history="0" r:id="rId27"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N 868/17</w:t>
              </w:r>
            </w:hyperlink>
            <w:r>
              <w:rPr>
                <w:sz w:val="20"/>
                <w:color w:val="392c69"/>
              </w:rPr>
              <w:t xml:space="preserve">, от 29.08.2017 </w:t>
            </w:r>
            <w:hyperlink w:history="0" r:id="rId28" w:tooltip="Приказ ФАС России от 29.08.2017 N 1130/17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1.09.2017 N 48267) {КонсультантПлюс}">
              <w:r>
                <w:rPr>
                  <w:sz w:val="20"/>
                  <w:color w:val="0000ff"/>
                </w:rPr>
                <w:t xml:space="preserve">N 1130/17</w:t>
              </w:r>
            </w:hyperlink>
            <w:r>
              <w:rPr>
                <w:sz w:val="20"/>
                <w:color w:val="392c69"/>
              </w:rPr>
              <w:t xml:space="preserve">,</w:t>
            </w:r>
          </w:p>
          <w:p>
            <w:pPr>
              <w:pStyle w:val="0"/>
              <w:jc w:val="center"/>
            </w:pPr>
            <w:r>
              <w:rPr>
                <w:sz w:val="20"/>
                <w:color w:val="392c69"/>
              </w:rPr>
              <w:t xml:space="preserve">от 29.08.2018 </w:t>
            </w:r>
            <w:hyperlink w:history="0" r:id="rId29" w:tooltip="Приказ ФАС России от 29.08.2018 N 1216/18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9.2018 N 52252) {КонсультантПлюс}">
              <w:r>
                <w:rPr>
                  <w:sz w:val="20"/>
                  <w:color w:val="0000ff"/>
                </w:rPr>
                <w:t xml:space="preserve">N 1216/18</w:t>
              </w:r>
            </w:hyperlink>
            <w:r>
              <w:rPr>
                <w:sz w:val="20"/>
                <w:color w:val="392c69"/>
              </w:rPr>
              <w:t xml:space="preserve">, от 29.10.2019 </w:t>
            </w:r>
            <w:hyperlink w:history="0" r:id="rId30"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N 1438/19</w:t>
              </w:r>
            </w:hyperlink>
            <w:r>
              <w:rPr>
                <w:sz w:val="20"/>
                <w:color w:val="392c69"/>
              </w:rPr>
              <w:t xml:space="preserve">, от 08.10.2020 </w:t>
            </w:r>
            <w:hyperlink w:history="0" r:id="rId31"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N 976/20</w:t>
              </w:r>
            </w:hyperlink>
            <w:r>
              <w:rPr>
                <w:sz w:val="20"/>
                <w:color w:val="392c69"/>
              </w:rPr>
              <w:t xml:space="preserve">,</w:t>
            </w:r>
          </w:p>
          <w:p>
            <w:pPr>
              <w:pStyle w:val="0"/>
              <w:jc w:val="center"/>
            </w:pPr>
            <w:r>
              <w:rPr>
                <w:sz w:val="20"/>
                <w:color w:val="392c69"/>
              </w:rPr>
              <w:t xml:space="preserve">от 11.03.2022 </w:t>
            </w:r>
            <w:hyperlink w:history="0" r:id="rId32" w:tooltip="Приказ ФАС России от 11.03.2022 N 201/22 &quot;О внесении изменений в некоторые приказы ФСТ России по вопросам регулируемых цен (тарифов) в сферах теплоснабжения, водоснабжения и водоотведения&quot; (Зарегистрировано в Минюсте России 06.04.2022 N 68093) {КонсультантПлюс}">
              <w:r>
                <w:rPr>
                  <w:sz w:val="20"/>
                  <w:color w:val="0000ff"/>
                </w:rPr>
                <w:t xml:space="preserve">N 201/22</w:t>
              </w:r>
            </w:hyperlink>
            <w:r>
              <w:rPr>
                <w:sz w:val="20"/>
                <w:color w:val="392c69"/>
              </w:rPr>
              <w:t xml:space="preserve">, от 11.05.2022 </w:t>
            </w:r>
            <w:hyperlink w:history="0" r:id="rId33" w:tooltip="Приказ ФАС России от 11.05.2022 N 350/22 &quot;О внесении изменений в приказы ФСТ России от 13 июня 2013 г. N 760-э и от 27 декабря 2013 г. N 1746-э&quot; (Зарегистрировано в Минюсте России 18.05.2022 N 68504) {КонсультантПлюс}">
              <w:r>
                <w:rPr>
                  <w:sz w:val="20"/>
                  <w:color w:val="0000ff"/>
                </w:rPr>
                <w:t xml:space="preserve">N 350/22</w:t>
              </w:r>
            </w:hyperlink>
            <w:r>
              <w:rPr>
                <w:sz w:val="20"/>
                <w:color w:val="392c69"/>
              </w:rPr>
              <w:t xml:space="preserve">, от 24.06.2022 </w:t>
            </w:r>
            <w:hyperlink w:history="0" r:id="rId34" w:tooltip="Приказ ФАС России от 24.06.2022 N 478/22 &quot;О внесении изменений в приказы ФСТ России от 13 июня 2013 г. N 760-э и от 27 декабря 2013 г. N 1746-э&quot; (Зарегистрировано в Минюсте России 05.07.2022 N 69141) {КонсультантПлюс}">
              <w:r>
                <w:rPr>
                  <w:sz w:val="20"/>
                  <w:color w:val="0000ff"/>
                </w:rPr>
                <w:t xml:space="preserve">N 478/22</w:t>
              </w:r>
            </w:hyperlink>
            <w:r>
              <w:rPr>
                <w:sz w:val="20"/>
                <w:color w:val="392c69"/>
              </w:rPr>
              <w:t xml:space="preserve">,</w:t>
            </w:r>
          </w:p>
          <w:p>
            <w:pPr>
              <w:pStyle w:val="0"/>
              <w:jc w:val="center"/>
            </w:pPr>
            <w:r>
              <w:rPr>
                <w:sz w:val="20"/>
                <w:color w:val="392c69"/>
              </w:rPr>
              <w:t xml:space="preserve">от 05.07.2022 </w:t>
            </w:r>
            <w:hyperlink w:history="0" r:id="rId35"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N 498/22</w:t>
              </w:r>
            </w:hyperlink>
            <w:r>
              <w:rPr>
                <w:sz w:val="20"/>
                <w:color w:val="392c69"/>
              </w:rPr>
              <w:t xml:space="preserve">, от 14.06.2023 </w:t>
            </w:r>
            <w:hyperlink w:history="0" r:id="rId36" w:tooltip="Приказ ФАС России от 14.06.2023 N 384/23 &quot;О внесении изменений в приказы ФСТ России от 13 июня 2013 г. N 760-э и от 27 декабря 2013 г. N 1746-э&quot; (Зарегистрировано в Минюсте России 28.08.2023 N 74987) {КонсультантПлюс}">
              <w:r>
                <w:rPr>
                  <w:sz w:val="20"/>
                  <w:color w:val="0000ff"/>
                </w:rPr>
                <w:t xml:space="preserve">N 384/23</w:t>
              </w:r>
            </w:hyperlink>
            <w:r>
              <w:rPr>
                <w:sz w:val="20"/>
                <w:color w:val="392c69"/>
              </w:rPr>
              <w:t xml:space="preserve">, от 27.05.2024 </w:t>
            </w:r>
            <w:hyperlink w:history="0" r:id="rId37" w:tooltip="Приказ ФАС России от 27.05.2024 N 363/24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 декабря 2013 г. N 1746-э&quot; (Зарегистрировано в Минюсте России 03.09.2024 N 79377) {КонсультантПлюс}">
              <w:r>
                <w:rPr>
                  <w:sz w:val="20"/>
                  <w:color w:val="0000ff"/>
                </w:rPr>
                <w:t xml:space="preserve">N 363/24</w:t>
              </w:r>
            </w:hyperlink>
            <w:r>
              <w:rPr>
                <w:sz w:val="20"/>
                <w:color w:val="392c69"/>
              </w:rPr>
              <w:t xml:space="preserve">,</w:t>
            </w:r>
          </w:p>
          <w:p>
            <w:pPr>
              <w:pStyle w:val="0"/>
              <w:jc w:val="center"/>
            </w:pPr>
            <w:r>
              <w:rPr>
                <w:sz w:val="20"/>
                <w:color w:val="392c69"/>
              </w:rPr>
              <w:t xml:space="preserve">от 15.07.2024 </w:t>
            </w:r>
            <w:hyperlink w:history="0" r:id="rId38"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N 473/24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Методические указания по расчету регулируемых тарифов в сфере водоснабжения и водоотведения (далее - Методические указания) разработаны в соответствии с Федеральным </w:t>
      </w:r>
      <w:hyperlink w:history="0" r:id="rId39"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7 декабря 2011 г. N 416-ФЗ "О водоснабжении и водоотведении" (Собрание законодательства Российской Федерации, 2011, N 50, ст. 7358; 2012, N 53 (часть I), ст. 7614; ст. 7616; ст. 7643; 2013, N 19, ст. 2330; N 30 (часть I), ст. 4077), </w:t>
      </w:r>
      <w:hyperlink w:history="0" r:id="rId40"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(далее - Основы ценообразования) и </w:t>
      </w:r>
      <w:hyperlink w:history="0" r:id="rId41"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Правилами</w:t>
        </w:r>
      </w:hyperlink>
      <w:r>
        <w:rPr>
          <w:sz w:val="20"/>
        </w:rPr>
        <w:t xml:space="preserve"> регулирования тарифов в сфере водоснабжения и водоотведения (далее - Правила регулирования),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N 32, ст. 4306).</w:t>
      </w:r>
    </w:p>
    <w:p>
      <w:pPr>
        <w:pStyle w:val="0"/>
        <w:spacing w:before="200" w:lineRule="auto"/>
        <w:ind w:firstLine="540"/>
        <w:jc w:val="both"/>
      </w:pPr>
      <w:r>
        <w:rPr>
          <w:sz w:val="20"/>
        </w:rPr>
        <w:t xml:space="preserve">2. Методические указания предназначены для использования федеральным органом исполнительной власти в области регулирования тарифов, органами исполнительной власти субъектов Российской Федерации и органами местного самоуправления, в случае наделения их соответствующими полномочиями, организациями, осуществляющими регулируемые виды деятельности в сфере водоснабжения и водоотведения (далее - органы регулирования тарифов, регулируемые организации соответственно).</w:t>
      </w:r>
    </w:p>
    <w:p>
      <w:pPr>
        <w:pStyle w:val="0"/>
        <w:spacing w:before="200" w:lineRule="auto"/>
        <w:ind w:firstLine="540"/>
        <w:jc w:val="both"/>
      </w:pPr>
      <w:r>
        <w:rPr>
          <w:sz w:val="20"/>
        </w:rPr>
        <w:t xml:space="preserve">3.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одного из следующих вариантов:</w:t>
      </w:r>
    </w:p>
    <w:p>
      <w:pPr>
        <w:pStyle w:val="0"/>
        <w:spacing w:before="200" w:lineRule="auto"/>
        <w:ind w:firstLine="540"/>
        <w:jc w:val="both"/>
      </w:pPr>
      <w:r>
        <w:rPr>
          <w:sz w:val="20"/>
        </w:rPr>
        <w:t xml:space="preserve">одноставочных;</w:t>
      </w:r>
    </w:p>
    <w:p>
      <w:pPr>
        <w:pStyle w:val="0"/>
        <w:spacing w:before="200" w:lineRule="auto"/>
        <w:ind w:firstLine="540"/>
        <w:jc w:val="both"/>
      </w:pPr>
      <w:r>
        <w:rPr>
          <w:sz w:val="20"/>
        </w:rPr>
        <w:t xml:space="preserve">двухставочных;</w:t>
      </w:r>
    </w:p>
    <w:p>
      <w:pPr>
        <w:pStyle w:val="0"/>
        <w:spacing w:before="200" w:lineRule="auto"/>
        <w:ind w:firstLine="540"/>
        <w:jc w:val="both"/>
      </w:pPr>
      <w:r>
        <w:rPr>
          <w:sz w:val="20"/>
        </w:rPr>
        <w:t xml:space="preserve">многоставочных тарифов (дифференцированных по объемам потребления воды).</w:t>
      </w:r>
    </w:p>
    <w:p>
      <w:pPr>
        <w:pStyle w:val="0"/>
        <w:spacing w:before="200" w:lineRule="auto"/>
        <w:ind w:firstLine="540"/>
        <w:jc w:val="both"/>
      </w:pPr>
      <w:r>
        <w:rPr>
          <w:sz w:val="20"/>
        </w:rPr>
        <w:t xml:space="preserve">3.1. Тарифы на транспортировку холодной и горячей воды, сточных вод организациям, не соответствующим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w:t>
      </w:r>
      <w:hyperlink w:history="0" r:id="rId42"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постановлением Правительства Российской Федерации от 29 июля 2013 г. N 642 (Собрание законодательства Российской Федерации, 2013, N 32, ст. 4304; 2021, N 49, ст. 8316), и </w:t>
      </w:r>
      <w:hyperlink w:history="0" r:id="rId4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(Собрание законодательства Российской Федерации, 2013, N 32, ст. 4306; 2021, N 49, ст. 8316) (далее - критерии отнесения к транзитным организациям), не устанавливаются.</w:t>
      </w:r>
    </w:p>
    <w:p>
      <w:pPr>
        <w:pStyle w:val="0"/>
        <w:spacing w:before="200" w:lineRule="auto"/>
        <w:ind w:firstLine="540"/>
        <w:jc w:val="both"/>
      </w:pPr>
      <w:r>
        <w:rPr>
          <w:sz w:val="20"/>
        </w:rPr>
        <w:t xml:space="preserve">Тарифы на транспортировку холодной и горячей воды, сточных вод, установленные организациям, не соответствующим критериям отнесения к транзитным организациям, не применяются такими организациями и подлежат отмене органами регулирования тарифов с 1 сентября 2022 г. (</w:t>
      </w:r>
      <w:hyperlink w:history="0" r:id="rId44"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 8</w:t>
        </w:r>
      </w:hyperlink>
      <w:r>
        <w:rPr>
          <w:sz w:val="20"/>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2021, N 49, ст. 8213).</w:t>
      </w:r>
    </w:p>
    <w:p>
      <w:pPr>
        <w:pStyle w:val="0"/>
        <w:jc w:val="both"/>
      </w:pPr>
      <w:r>
        <w:rPr>
          <w:sz w:val="20"/>
        </w:rPr>
        <w:t xml:space="preserve">(п. 3.1 введен </w:t>
      </w:r>
      <w:hyperlink w:history="0" r:id="rId45" w:tooltip="Приказ ФАС России от 11.03.2022 N 201/22 &quot;О внесении изменений в некоторые приказы ФСТ России по вопросам регулируемых цен (тарифов) в сферах теплоснабжения, водоснабжения и водоотведения&quot; (Зарегистрировано в Минюсте России 06.04.2022 N 68093) {КонсультантПлюс}">
        <w:r>
          <w:rPr>
            <w:sz w:val="20"/>
            <w:color w:val="0000ff"/>
          </w:rPr>
          <w:t xml:space="preserve">Приказом</w:t>
        </w:r>
      </w:hyperlink>
      <w:r>
        <w:rPr>
          <w:sz w:val="20"/>
        </w:rPr>
        <w:t xml:space="preserve"> ФАС России от 11.03.2022 N 201/22)</w:t>
      </w:r>
    </w:p>
    <w:bookmarkStart w:id="59" w:name="P59"/>
    <w:bookmarkEnd w:id="59"/>
    <w:p>
      <w:pPr>
        <w:pStyle w:val="0"/>
        <w:spacing w:before="200" w:lineRule="auto"/>
        <w:ind w:firstLine="540"/>
        <w:jc w:val="both"/>
      </w:pPr>
      <w:r>
        <w:rPr>
          <w:sz w:val="20"/>
        </w:rPr>
        <w:t xml:space="preserve">3.2. При установлении (корректировке) в 2022 и 2023 годах тарифов регулируемых организаций в сфере водоснабжения и водоотведения не применяются предложение третье </w:t>
      </w:r>
      <w:hyperlink w:history="0" w:anchor="P207" w:tooltip="28.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пункта 28</w:t>
        </w:r>
      </w:hyperlink>
      <w:r>
        <w:rPr>
          <w:sz w:val="20"/>
        </w:rPr>
        <w:t xml:space="preserve">, </w:t>
      </w:r>
      <w:hyperlink w:history="0" w:anchor="P751" w:tooltip="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 Экономия инвестиционных расходов, соответствующая положениям абзацев второго - четвертого пункта 67 Основ ценообразования, не уменьшает объем фактического исполнения инвестиционной программы;">
        <w:r>
          <w:rPr>
            <w:sz w:val="20"/>
            <w:color w:val="0000ff"/>
          </w:rPr>
          <w:t xml:space="preserve">абзацы пятнадцать</w:t>
        </w:r>
      </w:hyperlink>
      <w:r>
        <w:rPr>
          <w:sz w:val="20"/>
        </w:rPr>
        <w:t xml:space="preserve"> и </w:t>
      </w:r>
      <w:hyperlink w:history="0" w:anchor="P753" w:tooltip="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
        <w:r>
          <w:rPr>
            <w:sz w:val="20"/>
            <w:color w:val="0000ff"/>
          </w:rPr>
          <w:t xml:space="preserve">шестнадцать пункта 90</w:t>
        </w:r>
      </w:hyperlink>
      <w:r>
        <w:rPr>
          <w:sz w:val="20"/>
        </w:rPr>
        <w:t xml:space="preserve">, </w:t>
      </w:r>
      <w:hyperlink w:history="0" w:anchor="P778" w:tooltip="92.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
        <w:r>
          <w:rPr>
            <w:sz w:val="20"/>
            <w:color w:val="0000ff"/>
          </w:rPr>
          <w:t xml:space="preserve">пункты 92</w:t>
        </w:r>
      </w:hyperlink>
      <w:r>
        <w:rPr>
          <w:sz w:val="20"/>
        </w:rPr>
        <w:t xml:space="preserve"> и </w:t>
      </w:r>
      <w:hyperlink w:history="0" w:anchor="P787" w:tooltip="93.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
        <w:r>
          <w:rPr>
            <w:sz w:val="20"/>
            <w:color w:val="0000ff"/>
          </w:rPr>
          <w:t xml:space="preserve">93</w:t>
        </w:r>
      </w:hyperlink>
      <w:r>
        <w:rPr>
          <w:sz w:val="20"/>
        </w:rPr>
        <w:t xml:space="preserve"> настоящих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pPr>
        <w:pStyle w:val="0"/>
        <w:spacing w:before="200" w:lineRule="auto"/>
        <w:ind w:firstLine="540"/>
        <w:jc w:val="both"/>
      </w:pPr>
      <w:r>
        <w:rPr>
          <w:sz w:val="20"/>
        </w:rPr>
        <w:t xml:space="preserve">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w:t>
      </w:r>
      <w:hyperlink w:history="0" w:anchor="P59" w:tooltip="3.2. При установлении (корректировке) в 2022 и 2023 годах тарифов регулируемых организаций в сфере водоснабжения и водоотведения не применяются предложение третье пункта 28, абзацы пятнадцать и шестнадцать пункта 90, пункты 92 и 93 настоящих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
        <w:r>
          <w:rPr>
            <w:sz w:val="20"/>
            <w:color w:val="0000ff"/>
          </w:rPr>
          <w:t xml:space="preserve">пункт 3.2</w:t>
        </w:r>
      </w:hyperlink>
      <w:r>
        <w:rPr>
          <w:sz w:val="20"/>
        </w:rPr>
        <w:t xml:space="preserve"> настоящих Методических указаний применяется, если указанные средства были использованы регулируемой организацией для осуществления регулируемой деятельности.</w:t>
      </w:r>
    </w:p>
    <w:p>
      <w:pPr>
        <w:pStyle w:val="0"/>
        <w:jc w:val="both"/>
      </w:pPr>
      <w:r>
        <w:rPr>
          <w:sz w:val="20"/>
        </w:rPr>
        <w:t xml:space="preserve">(п. 3.2 введен </w:t>
      </w:r>
      <w:hyperlink w:history="0" r:id="rId46" w:tooltip="Приказ ФАС России от 11.05.2022 N 350/22 &quot;О внесении изменений в приказы ФСТ России от 13 июня 2013 г. N 760-э и от 27 декабря 2013 г. N 1746-э&quot; (Зарегистрировано в Минюсте России 18.05.2022 N 68504) {КонсультантПлюс}">
        <w:r>
          <w:rPr>
            <w:sz w:val="20"/>
            <w:color w:val="0000ff"/>
          </w:rPr>
          <w:t xml:space="preserve">Приказом</w:t>
        </w:r>
      </w:hyperlink>
      <w:r>
        <w:rPr>
          <w:sz w:val="20"/>
        </w:rPr>
        <w:t xml:space="preserve"> ФАС России от 11.05.2022 N 350/22)</w:t>
      </w:r>
    </w:p>
    <w:p>
      <w:pPr>
        <w:pStyle w:val="0"/>
        <w:spacing w:before="200" w:lineRule="auto"/>
        <w:ind w:firstLine="540"/>
        <w:jc w:val="both"/>
      </w:pPr>
      <w:r>
        <w:rPr>
          <w:sz w:val="20"/>
        </w:rPr>
        <w:t xml:space="preserve">3.3. Для целей установления тарифов в сфере водоснабжения и водоотведения расходы на строительство, реконструкцию и модернизацию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3.3 введен </w:t>
      </w:r>
      <w:hyperlink w:history="0" r:id="rId47" w:tooltip="Приказ ФАС России от 24.06.2022 N 478/22 &quot;О внесении изменений в приказы ФСТ России от 13 июня 2013 г. N 760-э и от 27 декабря 2013 г. N 1746-э&quot; (Зарегистрировано в Минюсте России 05.07.2022 N 69141) {КонсультантПлюс}">
        <w:r>
          <w:rPr>
            <w:sz w:val="20"/>
            <w:color w:val="0000ff"/>
          </w:rPr>
          <w:t xml:space="preserve">Приказом</w:t>
        </w:r>
      </w:hyperlink>
      <w:r>
        <w:rPr>
          <w:sz w:val="20"/>
        </w:rPr>
        <w:t xml:space="preserve"> ФАС России от 24.06.2022 N 478/22)</w:t>
      </w:r>
    </w:p>
    <w:p>
      <w:pPr>
        <w:pStyle w:val="0"/>
        <w:jc w:val="both"/>
      </w:pPr>
      <w:r>
        <w:rPr>
          <w:sz w:val="20"/>
        </w:rPr>
      </w:r>
    </w:p>
    <w:bookmarkStart w:id="65" w:name="P65"/>
    <w:bookmarkEnd w:id="65"/>
    <w:p>
      <w:pPr>
        <w:pStyle w:val="2"/>
        <w:outlineLvl w:val="1"/>
        <w:jc w:val="center"/>
      </w:pPr>
      <w:r>
        <w:rPr>
          <w:sz w:val="20"/>
        </w:rPr>
        <w:t xml:space="preserve">II. Определение объема отпуска воды, принятых сточных</w:t>
      </w:r>
    </w:p>
    <w:p>
      <w:pPr>
        <w:pStyle w:val="2"/>
        <w:jc w:val="center"/>
      </w:pPr>
      <w:r>
        <w:rPr>
          <w:sz w:val="20"/>
        </w:rPr>
        <w:t xml:space="preserve">вод, используемых для расчета тарифов в сфере водоснабжения</w:t>
      </w:r>
    </w:p>
    <w:p>
      <w:pPr>
        <w:pStyle w:val="2"/>
        <w:jc w:val="center"/>
      </w:pPr>
      <w:r>
        <w:rPr>
          <w:sz w:val="20"/>
        </w:rPr>
        <w:t xml:space="preserve">и водоотведения (баланс водоснабжения и водоотведения)</w:t>
      </w:r>
    </w:p>
    <w:p>
      <w:pPr>
        <w:pStyle w:val="0"/>
        <w:jc w:val="both"/>
      </w:pPr>
      <w:r>
        <w:rPr>
          <w:sz w:val="20"/>
        </w:rPr>
      </w:r>
    </w:p>
    <w:p>
      <w:pPr>
        <w:pStyle w:val="0"/>
        <w:ind w:firstLine="540"/>
        <w:jc w:val="both"/>
      </w:pPr>
      <w:r>
        <w:rPr>
          <w:sz w:val="20"/>
        </w:rPr>
        <w:t xml:space="preserve">4. Расчетный объем отпуска воды, объем принятых сточных вод, оказываемых услуг определяются в соответствии с </w:t>
      </w:r>
      <w:hyperlink w:history="0" w:anchor="P1104" w:tooltip="Баланс водоснабжения">
        <w:r>
          <w:rPr>
            <w:sz w:val="20"/>
            <w:color w:val="0000ff"/>
          </w:rPr>
          <w:t xml:space="preserve">Приложениями 1</w:t>
        </w:r>
      </w:hyperlink>
      <w:r>
        <w:rPr>
          <w:sz w:val="20"/>
        </w:rPr>
        <w:t xml:space="preserve">, </w:t>
      </w:r>
      <w:hyperlink w:history="0" w:anchor="P2084" w:tooltip="Баланс водоотведения">
        <w:r>
          <w:rPr>
            <w:sz w:val="20"/>
            <w:color w:val="0000ff"/>
          </w:rPr>
          <w:t xml:space="preserve">1.1</w:t>
        </w:r>
      </w:hyperlink>
      <w:r>
        <w:rPr>
          <w:sz w:val="20"/>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pPr>
        <w:pStyle w:val="0"/>
        <w:spacing w:before="200" w:lineRule="auto"/>
        <w:ind w:firstLine="540"/>
        <w:jc w:val="both"/>
      </w:pPr>
      <w:r>
        <w:rPr>
          <w:sz w:val="20"/>
        </w:rPr>
        <w:t xml:space="preserve">5. Объем воды, отпускаемой (планируемой к отпуску) абонентам, определяется отдельно в отношении питьевой воды, технической воды, горячей воды по формулам:</w:t>
      </w:r>
    </w:p>
    <w:p>
      <w:pPr>
        <w:pStyle w:val="0"/>
        <w:jc w:val="both"/>
      </w:pPr>
      <w:r>
        <w:rPr>
          <w:sz w:val="20"/>
        </w:rPr>
      </w:r>
    </w:p>
    <w:bookmarkStart w:id="72" w:name="P72"/>
    <w:bookmarkEnd w:id="72"/>
    <w:p>
      <w:pPr>
        <w:pStyle w:val="0"/>
        <w:jc w:val="center"/>
      </w:pPr>
      <w:r>
        <w:rPr>
          <w:position w:val="-9"/>
        </w:rPr>
        <w:drawing>
          <wp:inline distT="0" distB="0" distL="0" distR="0">
            <wp:extent cx="20447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2044700" cy="253365"/>
                    </a:xfrm>
                    <a:prstGeom prst="rect">
                      <a:avLst/>
                    </a:prstGeom>
                    <a:noFill/>
                    <a:ln>
                      <a:noFill/>
                    </a:ln>
                  </pic:spPr>
                </pic:pic>
              </a:graphicData>
            </a:graphic>
          </wp:inline>
        </w:drawing>
      </w:r>
      <w:r>
        <w:rPr>
          <w:sz w:val="20"/>
        </w:rPr>
        <w:t xml:space="preserve">, (1)</w:t>
      </w:r>
    </w:p>
    <w:p>
      <w:pPr>
        <w:pStyle w:val="0"/>
        <w:jc w:val="both"/>
      </w:pPr>
      <w:r>
        <w:rPr>
          <w:sz w:val="20"/>
        </w:rPr>
      </w:r>
    </w:p>
    <w:bookmarkStart w:id="74" w:name="P74"/>
    <w:bookmarkEnd w:id="74"/>
    <w:p>
      <w:pPr>
        <w:pStyle w:val="0"/>
        <w:jc w:val="center"/>
      </w:pPr>
      <w:r>
        <w:rPr>
          <w:position w:val="-26"/>
        </w:rPr>
        <w:drawing>
          <wp:inline distT="0" distB="0" distL="0" distR="0">
            <wp:extent cx="2273300" cy="461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2273300" cy="461645"/>
                    </a:xfrm>
                    <a:prstGeom prst="rect">
                      <a:avLst/>
                    </a:prstGeom>
                    <a:noFill/>
                    <a:ln>
                      <a:noFill/>
                    </a:ln>
                  </pic:spPr>
                </pic:pic>
              </a:graphicData>
            </a:graphic>
          </wp:inline>
        </w:drawing>
      </w:r>
      <w:r>
        <w:rPr>
          <w:sz w:val="20"/>
        </w:rPr>
        <w:t xml:space="preserve">, (1.1)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объем воды, отпускаемой абонентам (планируемой к отпуску) в году i, тыс. куб. м;</w:t>
      </w:r>
    </w:p>
    <w:p>
      <w:pPr>
        <w:pStyle w:val="0"/>
        <w:spacing w:before="200" w:lineRule="auto"/>
        <w:ind w:firstLine="540"/>
        <w:jc w:val="both"/>
      </w:pPr>
      <w:r>
        <w:rPr>
          <w:position w:val="-8"/>
        </w:rPr>
        <w:drawing>
          <wp:inline distT="0" distB="0" distL="0" distR="0">
            <wp:extent cx="259715"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259715" cy="235585"/>
                    </a:xfrm>
                    <a:prstGeom prst="rect">
                      <a:avLst/>
                    </a:prstGeom>
                    <a:noFill/>
                    <a:ln>
                      <a:noFill/>
                    </a:ln>
                  </pic:spPr>
                </pic:pic>
              </a:graphicData>
            </a:graphic>
          </wp:inline>
        </w:drawing>
      </w:r>
      <w:r>
        <w:rPr>
          <w:sz w:val="20"/>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pPr>
        <w:pStyle w:val="0"/>
        <w:spacing w:before="200" w:lineRule="auto"/>
        <w:ind w:firstLine="540"/>
        <w:jc w:val="both"/>
      </w:pPr>
      <w:r>
        <w:rPr>
          <w:position w:val="-8"/>
        </w:rPr>
        <w:drawing>
          <wp:inline distT="0" distB="0" distL="0" distR="0">
            <wp:extent cx="304800"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 cy="235585"/>
                    </a:xfrm>
                    <a:prstGeom prst="rect">
                      <a:avLst/>
                    </a:prstGeom>
                    <a:noFill/>
                    <a:ln>
                      <a:noFill/>
                    </a:ln>
                  </pic:spPr>
                </pic:pic>
              </a:graphicData>
            </a:graphic>
          </wp:inline>
        </w:drawing>
      </w:r>
      <w:r>
        <w:rPr>
          <w:sz w:val="20"/>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pPr>
        <w:pStyle w:val="0"/>
        <w:spacing w:before="200" w:lineRule="auto"/>
        <w:ind w:firstLine="540"/>
        <w:jc w:val="both"/>
      </w:pPr>
      <w:r>
        <w:rPr>
          <w:position w:val="-7"/>
        </w:rPr>
        <w:drawing>
          <wp:inline distT="0" distB="0" distL="0" distR="0">
            <wp:extent cx="139700" cy="227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39700" cy="227965"/>
                    </a:xfrm>
                    <a:prstGeom prst="rect">
                      <a:avLst/>
                    </a:prstGeom>
                    <a:noFill/>
                    <a:ln>
                      <a:noFill/>
                    </a:ln>
                  </pic:spPr>
                </pic:pic>
              </a:graphicData>
            </a:graphic>
          </wp:inline>
        </w:drawing>
      </w:r>
      <w:r>
        <w:rPr>
          <w:sz w:val="20"/>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pPr>
        <w:pStyle w:val="0"/>
        <w:spacing w:before="200" w:lineRule="auto"/>
        <w:ind w:firstLine="540"/>
        <w:jc w:val="both"/>
      </w:pPr>
      <w:r>
        <w:rPr>
          <w:sz w:val="20"/>
        </w:rPr>
        <w:t xml:space="preserve">При расчете объема воды, отпускаемой абонентам, на очередной год используются расчетные объемы отпуска воды за текущий год и фактические объемы отпуска воды за предшествующие три года, определяемые органом регулирования с учетом представленной регулируемыми организациями информации в соответствии со </w:t>
      </w:r>
      <w:hyperlink w:history="0" r:id="rId54" w:tooltip="Постановление Правительства РФ от 30.12.2009 N 1140 (ред. от 10.02.2014) &quot;Об утверждении стандартов раскрытия информации организациями коммунального комплекса&quot; ------------ Утратил силу или отменен {КонсультантПлюс}">
        <w:r>
          <w:rPr>
            <w:sz w:val="20"/>
            <w:color w:val="0000ff"/>
          </w:rPr>
          <w:t xml:space="preserve">Стандартами</w:t>
        </w:r>
      </w:hyperlink>
      <w:r>
        <w:rPr>
          <w:sz w:val="20"/>
        </w:rPr>
        <w:t xml:space="preserve"> раскрытия информации организациями коммунального комплекса, утвержденными постановлением Правительства Российской Федерации от 30 декабря 2009 г. N 1140 (Собрание законодательства Российской Федерации, 2010, N 3, ст. 302; 2013, N 3, ст. 205; N 28, ст. 3835), </w:t>
      </w:r>
      <w:hyperlink w:history="0" r:id="rId55" w:tooltip="Постановление Правительства РФ от 17.01.2013 N 6 (ред. от 31.03.2018, с изм. от 30.04.2020) &quot;О стандартах раскрытия информации в сфере водоснабжения и водоотведения&quot; (с изм. и доп., вступ. в силу с 01.01.2019) ------------ Утратил силу или отменен {КонсультантПлюс}">
        <w:r>
          <w:rPr>
            <w:sz w:val="20"/>
            <w:color w:val="0000ff"/>
          </w:rPr>
          <w:t xml:space="preserve">Стандартами</w:t>
        </w:r>
      </w:hyperlink>
      <w:r>
        <w:rPr>
          <w:sz w:val="20"/>
        </w:rP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 N 6 (Собрание законодательства Российской Федерации, 2013, N 3, ст. 205).</w:t>
      </w:r>
    </w:p>
    <w:p>
      <w:pPr>
        <w:pStyle w:val="0"/>
        <w:spacing w:before="200" w:lineRule="auto"/>
        <w:ind w:firstLine="540"/>
        <w:jc w:val="both"/>
      </w:pPr>
      <w:r>
        <w:rPr>
          <w:sz w:val="20"/>
        </w:rPr>
        <w:t xml:space="preserve">6.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 При создании новых объектов централизованных систем водоснабжения объем отпуска (транспортировки) воды определяется расчетным способом с учетом технических параметров таких объектов.</w:t>
      </w:r>
    </w:p>
    <w:p>
      <w:pPr>
        <w:pStyle w:val="0"/>
        <w:spacing w:before="200" w:lineRule="auto"/>
        <w:ind w:firstLine="540"/>
        <w:jc w:val="both"/>
      </w:pPr>
      <w:r>
        <w:rPr>
          <w:sz w:val="20"/>
        </w:rPr>
        <w:t xml:space="preserve">7. Объем потерь воды при транспортировке определяется органом регулирования тарифов в соответствии с </w:t>
      </w:r>
      <w:hyperlink w:history="0" r:id="rId56"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пунктом 27</w:t>
        </w:r>
      </w:hyperlink>
      <w:r>
        <w:rPr>
          <w:sz w:val="20"/>
        </w:rPr>
        <w:t xml:space="preserve"> Основ ценообразования.</w:t>
      </w:r>
    </w:p>
    <w:p>
      <w:pPr>
        <w:pStyle w:val="0"/>
        <w:jc w:val="both"/>
      </w:pPr>
      <w:r>
        <w:rPr>
          <w:sz w:val="20"/>
        </w:rPr>
        <w:t xml:space="preserve">(в ред. </w:t>
      </w:r>
      <w:hyperlink w:history="0" r:id="rId57"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p>
      <w:pPr>
        <w:pStyle w:val="0"/>
        <w:spacing w:before="200" w:lineRule="auto"/>
        <w:ind w:firstLine="540"/>
        <w:jc w:val="both"/>
      </w:pPr>
      <w:r>
        <w:rPr>
          <w:sz w:val="20"/>
        </w:rPr>
        <w:t xml:space="preserve">8. Расчет объема принятых сточных вод на очередной год осуществляется в соответствии с </w:t>
      </w:r>
      <w:hyperlink w:history="0" w:anchor="P72" w:tooltip=", (1)">
        <w:r>
          <w:rPr>
            <w:sz w:val="20"/>
            <w:color w:val="0000ff"/>
          </w:rPr>
          <w:t xml:space="preserve">формулами (1)</w:t>
        </w:r>
      </w:hyperlink>
      <w:r>
        <w:rPr>
          <w:sz w:val="20"/>
        </w:rPr>
        <w:t xml:space="preserve"> и </w:t>
      </w:r>
      <w:hyperlink w:history="0" w:anchor="P74" w:tooltip=", (1.1)">
        <w:r>
          <w:rPr>
            <w:sz w:val="20"/>
            <w:color w:val="0000ff"/>
          </w:rPr>
          <w:t xml:space="preserve">(1.1)</w:t>
        </w:r>
      </w:hyperlink>
      <w:r>
        <w:rPr>
          <w:sz w:val="20"/>
        </w:rPr>
        <w:t xml:space="preserve">,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pPr>
        <w:pStyle w:val="0"/>
        <w:spacing w:before="200" w:lineRule="auto"/>
        <w:ind w:firstLine="540"/>
        <w:jc w:val="both"/>
      </w:pPr>
      <w:r>
        <w:rPr>
          <w:sz w:val="20"/>
        </w:rPr>
        <w:t xml:space="preserve">9. В случае, если канализационные выпуски абонента не оборудованы приборами учета сточных вод, объем принятых сточных вод в целях расчета тарифов определяется в соответствии с </w:t>
      </w:r>
      <w:hyperlink w:history="0" r:id="rId58"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(далее - Правила организации коммерческого учета воды, сточных вод) (Собрание законодательства Российской Федерации, 2013, N 37, ст. 4696), и в соответствии с объемами, определенными в договорах водоотведения, единых договорах водоснабжения и водоотведения.</w:t>
      </w:r>
    </w:p>
    <w:p>
      <w:pPr>
        <w:pStyle w:val="0"/>
        <w:jc w:val="both"/>
      </w:pPr>
      <w:r>
        <w:rPr>
          <w:sz w:val="20"/>
        </w:rPr>
        <w:t xml:space="preserve">(в ред. </w:t>
      </w:r>
      <w:hyperlink w:history="0" r:id="rId59"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Приказа</w:t>
        </w:r>
      </w:hyperlink>
      <w:r>
        <w:rPr>
          <w:sz w:val="20"/>
        </w:rPr>
        <w:t xml:space="preserve"> ФАС России от 08.10.2020 N 976/20)</w:t>
      </w:r>
    </w:p>
    <w:p>
      <w:pPr>
        <w:pStyle w:val="0"/>
        <w:spacing w:before="200" w:lineRule="auto"/>
        <w:ind w:firstLine="540"/>
        <w:jc w:val="both"/>
      </w:pPr>
      <w:r>
        <w:rPr>
          <w:sz w:val="20"/>
        </w:rPr>
        <w:t xml:space="preserve">10. Расчетный объем сточных вод, отводимых в централизованную систему водоотведения, определяется отдельно для поверхностных сточных вод и других категорий сточных вод (хозяйственно-бытовых, производственных или промышленных сточных вод).</w:t>
      </w:r>
    </w:p>
    <w:p>
      <w:pPr>
        <w:pStyle w:val="0"/>
        <w:jc w:val="both"/>
      </w:pPr>
      <w:r>
        <w:rPr>
          <w:sz w:val="20"/>
        </w:rPr>
      </w:r>
    </w:p>
    <w:p>
      <w:pPr>
        <w:pStyle w:val="2"/>
        <w:outlineLvl w:val="1"/>
        <w:jc w:val="center"/>
      </w:pPr>
      <w:r>
        <w:rPr>
          <w:sz w:val="20"/>
        </w:rPr>
        <w:t xml:space="preserve">III. Общие положения по расчету необходимой валовой выручки</w:t>
      </w:r>
    </w:p>
    <w:p>
      <w:pPr>
        <w:pStyle w:val="0"/>
        <w:jc w:val="both"/>
      </w:pPr>
      <w:r>
        <w:rPr>
          <w:sz w:val="20"/>
        </w:rPr>
      </w:r>
    </w:p>
    <w:p>
      <w:pPr>
        <w:pStyle w:val="0"/>
        <w:ind w:firstLine="540"/>
        <w:jc w:val="both"/>
      </w:pPr>
      <w:r>
        <w:rPr>
          <w:sz w:val="20"/>
        </w:rPr>
        <w:t xml:space="preserve">11.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предусмотренных инвестиционными и производственными программами в течение периода регулирования.</w:t>
      </w:r>
    </w:p>
    <w:p>
      <w:pPr>
        <w:pStyle w:val="0"/>
        <w:jc w:val="both"/>
      </w:pPr>
      <w:r>
        <w:rPr>
          <w:sz w:val="20"/>
        </w:rPr>
        <w:t xml:space="preserve">(в ред. </w:t>
      </w:r>
      <w:hyperlink w:history="0" r:id="rId60"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bookmarkStart w:id="94" w:name="P94"/>
    <w:bookmarkEnd w:id="94"/>
    <w:p>
      <w:pPr>
        <w:pStyle w:val="0"/>
        <w:spacing w:before="200" w:lineRule="auto"/>
        <w:ind w:firstLine="540"/>
        <w:jc w:val="both"/>
      </w:pPr>
      <w:r>
        <w:rPr>
          <w:sz w:val="20"/>
        </w:rPr>
        <w:t xml:space="preserve">11.1. Средства, начисленные регулируемой организацией в течение текущего долгосрочного периода регулирования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за вычетом средств, целевым образом направленных на мероприятия производственной программы и (или) инвестиционной программы, ремонт, реконструкцию или строительство объектов централизованных систем водоотведения, на возврат займов и кредитов, процентов по займам и кредитам, привлекаемым на реализацию производственной программы и (или) инвестиционной программы (не более половины от начисленной за указанный период платы за негативное воздействие на работу централизованной системы водоотведения), и оставшиеся в ее распоряжении после уплаты налога на прибыль организации, внесения платы за негативное воздействие на окружающую среду, компенсации вреда, причиненного водному объекту, целевым образом направляются на финансирование мероприятий утвержденной инвестиционной программы по строительству, реконструкции и модернизации объектов централизованной системы водоотведения. Указанные средства, оставшиеся в распоряжении регулируемой организации и не направленные на мероприятия инвестиционной программы, подлежат исключению из необходимой валовой выручки регулируемой организации, за исключением следующих случаев:</w:t>
      </w:r>
    </w:p>
    <w:bookmarkStart w:id="95" w:name="P95"/>
    <w:bookmarkEnd w:id="95"/>
    <w:p>
      <w:pPr>
        <w:pStyle w:val="0"/>
        <w:spacing w:before="200" w:lineRule="auto"/>
        <w:ind w:firstLine="540"/>
        <w:jc w:val="both"/>
      </w:pPr>
      <w:r>
        <w:rPr>
          <w:sz w:val="20"/>
        </w:rPr>
        <w:t xml:space="preserve">вступившее в законную силу решение суда, на основании которого плата (часть платы) за сброс загрязняющих веществ в составе сточных вод сверх установленных нормативов состава сточных вод и (или) плата (часть платы) за негативное воздействие на работу централизованной системы водоотведения не подлежит взысканию;</w:t>
      </w:r>
    </w:p>
    <w:p>
      <w:pPr>
        <w:pStyle w:val="0"/>
        <w:spacing w:before="200" w:lineRule="auto"/>
        <w:ind w:firstLine="540"/>
        <w:jc w:val="both"/>
      </w:pPr>
      <w:r>
        <w:rPr>
          <w:sz w:val="20"/>
        </w:rPr>
        <w:t xml:space="preserve">признание задолженности абонента по внесению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безнадежной в связи с невозможностью взыскания, что подтверждено постановлением судебного пристава-исполнителя о прекращении исполнительного производства, вынесенным в порядке, установленном Федеральным </w:t>
      </w:r>
      <w:hyperlink w:history="0" r:id="rId61" w:tooltip="Федеральный закон от 02.10.2007 N 229-ФЗ (ред. от 31.07.2025) &quot;Об исполнительном производстве&quot; {КонсультантПлюс}">
        <w:r>
          <w:rPr>
            <w:sz w:val="20"/>
            <w:color w:val="0000ff"/>
          </w:rPr>
          <w:t xml:space="preserve">законом</w:t>
        </w:r>
      </w:hyperlink>
      <w:r>
        <w:rPr>
          <w:sz w:val="20"/>
        </w:rPr>
        <w:t xml:space="preserve"> от 2 октября 2007 г. N 229-ФЗ "Об исполнительном производстве" (Собрание законодательства Российской Федерации, 2007, N 41, ст. 4849; 2022, N 1, ст. 13);</w:t>
      </w:r>
    </w:p>
    <w:bookmarkStart w:id="97" w:name="P97"/>
    <w:bookmarkEnd w:id="97"/>
    <w:p>
      <w:pPr>
        <w:pStyle w:val="0"/>
        <w:spacing w:before="200" w:lineRule="auto"/>
        <w:ind w:firstLine="540"/>
        <w:jc w:val="both"/>
      </w:pPr>
      <w:r>
        <w:rPr>
          <w:sz w:val="20"/>
        </w:rPr>
        <w:t xml:space="preserve">утверждение или корректировка инвестиционной программы в части мероприятий, источником финансирования которых является плата за сброс загрязняющих веществ в составе сточных вод сверх установленных нормативов состава сточных вод и (или) плата за негативное воздействие на работу централизованной системы водоотведения.</w:t>
      </w:r>
    </w:p>
    <w:p>
      <w:pPr>
        <w:pStyle w:val="0"/>
        <w:spacing w:before="200" w:lineRule="auto"/>
        <w:ind w:firstLine="540"/>
        <w:jc w:val="both"/>
      </w:pPr>
      <w:r>
        <w:rPr>
          <w:sz w:val="20"/>
        </w:rPr>
        <w:t xml:space="preserve">Указанные в </w:t>
      </w:r>
      <w:hyperlink w:history="0" w:anchor="P94" w:tooltip="11.1. Средства, начисленные регулируемой организацией в течение текущего долгосрочного периода регулирования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за вычетом средств, целевым образом направленных на мероприятия производственной программы и (или) инвестиционной программы, ремонт, реконструкцию или строительство объектов централизованных сис...">
        <w:r>
          <w:rPr>
            <w:sz w:val="20"/>
            <w:color w:val="0000ff"/>
          </w:rPr>
          <w:t xml:space="preserve">абзаце первом пункта 11.1</w:t>
        </w:r>
      </w:hyperlink>
      <w:r>
        <w:rPr>
          <w:sz w:val="20"/>
        </w:rPr>
        <w:t xml:space="preserve"> средства, начисленные регулируемой организацией в течение текущего долгосрочного периода, за исключением последних 2 лет текущего долгосрочного периода, и оставшиеся в ее распоряжении, подлежат исключению из необходимой валовой выручки регулируемой организации в последний год текущего долгосрочного периода, а средства, начисленные регулируемой организацией в течение последних 2 лет указанного долгосрочного периода и оставшиеся в ее распоряжении, подлежат исключению из необходимой валовой выручки регулируемой организации при установлении (корректировке) тарифов для регулируемой организации на второй год следующего долгосрочного периода регулирования, за исключением случаев, указанных в </w:t>
      </w:r>
      <w:hyperlink w:history="0" w:anchor="P95" w:tooltip="вступившее в законную силу решение суда, на основании которого плата (часть платы) за сброс загрязняющих веществ в составе сточных вод сверх установленных нормативов состава сточных вод и (или) плата (часть платы) за негативное воздействие на работу централизованной системы водоотведения не подлежит взысканию;">
        <w:r>
          <w:rPr>
            <w:sz w:val="20"/>
            <w:color w:val="0000ff"/>
          </w:rPr>
          <w:t xml:space="preserve">абзацах втором</w:t>
        </w:r>
      </w:hyperlink>
      <w:r>
        <w:rPr>
          <w:sz w:val="20"/>
        </w:rPr>
        <w:t xml:space="preserve"> - </w:t>
      </w:r>
      <w:hyperlink w:history="0" w:anchor="P97" w:tooltip="утверждение или корректировка инвестиционной программы в части мероприятий, источником финансирования которых является плата за сброс загрязняющих веществ в составе сточных вод сверх установленных нормативов состава сточных вод и (или) плата за негативное воздействие на работу централизованной системы водоотведения.">
        <w:r>
          <w:rPr>
            <w:sz w:val="20"/>
            <w:color w:val="0000ff"/>
          </w:rPr>
          <w:t xml:space="preserve">четвертом</w:t>
        </w:r>
      </w:hyperlink>
      <w:r>
        <w:rPr>
          <w:sz w:val="20"/>
        </w:rPr>
        <w:t xml:space="preserve"> настоящего пункта.</w:t>
      </w:r>
    </w:p>
    <w:p>
      <w:pPr>
        <w:pStyle w:val="0"/>
        <w:jc w:val="both"/>
      </w:pPr>
      <w:r>
        <w:rPr>
          <w:sz w:val="20"/>
        </w:rPr>
        <w:t xml:space="preserve">(п. 11.1 введен </w:t>
      </w:r>
      <w:hyperlink w:history="0" r:id="rId62"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Приказом</w:t>
        </w:r>
      </w:hyperlink>
      <w:r>
        <w:rPr>
          <w:sz w:val="20"/>
        </w:rPr>
        <w:t xml:space="preserve"> ФАС России от 05.07.2022 N 498/22)</w:t>
      </w:r>
    </w:p>
    <w:p>
      <w:pPr>
        <w:pStyle w:val="0"/>
        <w:spacing w:before="200" w:lineRule="auto"/>
        <w:ind w:firstLine="540"/>
        <w:jc w:val="both"/>
      </w:pPr>
      <w:r>
        <w:rPr>
          <w:sz w:val="20"/>
        </w:rPr>
        <w:t xml:space="preserve">12.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(далее - выпадающие расходы и недополученные доходы), то такие выпадающие расходы и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pPr>
        <w:pStyle w:val="0"/>
        <w:spacing w:before="200" w:lineRule="auto"/>
        <w:ind w:firstLine="540"/>
        <w:jc w:val="both"/>
      </w:pPr>
      <w:r>
        <w:rPr>
          <w:sz w:val="20"/>
        </w:rPr>
        <w:t xml:space="preserve">12.1. Подлежат исключению из необходимой валовой выручки регулируемой организации:</w:t>
      </w:r>
    </w:p>
    <w:p>
      <w:pPr>
        <w:pStyle w:val="0"/>
        <w:spacing w:before="200" w:lineRule="auto"/>
        <w:ind w:firstLine="540"/>
        <w:jc w:val="both"/>
      </w:pPr>
      <w:r>
        <w:rPr>
          <w:sz w:val="20"/>
        </w:rPr>
        <w:t xml:space="preserve">1)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pPr>
        <w:pStyle w:val="0"/>
        <w:spacing w:before="200" w:lineRule="auto"/>
        <w:ind w:firstLine="540"/>
        <w:jc w:val="both"/>
      </w:pPr>
      <w:r>
        <w:rPr>
          <w:sz w:val="20"/>
        </w:rPr>
        <w:t xml:space="preserve">2)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pPr>
        <w:pStyle w:val="0"/>
        <w:jc w:val="both"/>
      </w:pPr>
      <w:r>
        <w:rPr>
          <w:sz w:val="20"/>
        </w:rPr>
        <w:t xml:space="preserve">(п. 12.1 введен </w:t>
      </w:r>
      <w:hyperlink w:history="0" r:id="rId63"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Приказом</w:t>
        </w:r>
      </w:hyperlink>
      <w:r>
        <w:rPr>
          <w:sz w:val="20"/>
        </w:rPr>
        <w:t xml:space="preserve"> ФАС России от 05.07.2022 N 498/22)</w:t>
      </w:r>
    </w:p>
    <w:p>
      <w:pPr>
        <w:pStyle w:val="0"/>
        <w:spacing w:before="200" w:lineRule="auto"/>
        <w:ind w:firstLine="540"/>
        <w:jc w:val="both"/>
      </w:pPr>
      <w:r>
        <w:rPr>
          <w:sz w:val="20"/>
        </w:rPr>
        <w:t xml:space="preserve">13. Тарифы на подвоз воды рассчитываются методом экономически обоснованных расходов (затрат). При расчете тарифов на подвоз воды учитываются расходы на забор и водоподготовку или покупку воды и расходы на транспортировку воды.</w:t>
      </w:r>
    </w:p>
    <w:p>
      <w:pPr>
        <w:pStyle w:val="0"/>
        <w:spacing w:before="200" w:lineRule="auto"/>
        <w:ind w:firstLine="540"/>
        <w:jc w:val="both"/>
      </w:pPr>
      <w:r>
        <w:rPr>
          <w:sz w:val="20"/>
        </w:rPr>
        <w:t xml:space="preserve">14. При расчете необходимой валовой выручки доходы регулируемой организации от платы за подключение (технологическое присоединение) и расходы, связанные с подключением объектов заявителей к централизованным системам водоснабжения и водоотведения, учитываются отдельно. При расчете доходов от платы за подключение (технологическое присоединение) не применяются методы расчета необходимой валовой выручки в соответствии с </w:t>
      </w:r>
      <w:hyperlink w:history="0" w:anchor="P110" w:tooltip="IV. Расчет необходимой валовой выручки методом экономически">
        <w:r>
          <w:rPr>
            <w:sz w:val="20"/>
            <w:color w:val="0000ff"/>
          </w:rPr>
          <w:t xml:space="preserve">главами IV</w:t>
        </w:r>
      </w:hyperlink>
      <w:r>
        <w:rPr>
          <w:sz w:val="20"/>
        </w:rPr>
        <w:t xml:space="preserve"> - </w:t>
      </w:r>
      <w:hyperlink w:history="0" w:anchor="P672" w:tooltip="VII. Расчет необходимой валовой выручки методом индексации">
        <w:r>
          <w:rPr>
            <w:sz w:val="20"/>
            <w:color w:val="0000ff"/>
          </w:rPr>
          <w:t xml:space="preserve">VII</w:t>
        </w:r>
      </w:hyperlink>
      <w:r>
        <w:rPr>
          <w:sz w:val="20"/>
        </w:rPr>
        <w:t xml:space="preserve"> настоящих Методических указаний.</w:t>
      </w:r>
    </w:p>
    <w:p>
      <w:pPr>
        <w:pStyle w:val="0"/>
        <w:spacing w:before="200" w:lineRule="auto"/>
        <w:ind w:firstLine="540"/>
        <w:jc w:val="both"/>
      </w:pPr>
      <w:r>
        <w:rPr>
          <w:sz w:val="20"/>
        </w:rPr>
        <w:t xml:space="preserve">Доходы регулируемой организации от взимания платы за нарушение нормативов по объему и (или) составу сточных вод не учитываются при расчете необходимой валовой выручки в случае, если они направляются целевым образом на внесение платы за негативное воздействие на окружающую среду, компенсацию вреда, причиненного водному объекту, и финансирование мероприятий инвестиционной программы по строительству, реконструкции и модернизации объектов централизованной системы водоотведения.</w:t>
      </w:r>
    </w:p>
    <w:p>
      <w:pPr>
        <w:pStyle w:val="0"/>
        <w:spacing w:before="200" w:lineRule="auto"/>
        <w:ind w:firstLine="540"/>
        <w:jc w:val="both"/>
      </w:pPr>
      <w:r>
        <w:rPr>
          <w:sz w:val="20"/>
        </w:rPr>
        <w:t xml:space="preserve">Доходы от взимания платы за негативное воздействие на работу централизованной системы водоотведения не учитываются при расчете необходимой валовой выручки регулируемой организации в случае, если они направляются целевым образом на финансирование мероприятий инвестиционной и (или) производственной программы регулируемой организации.</w:t>
      </w:r>
    </w:p>
    <w:p>
      <w:pPr>
        <w:pStyle w:val="0"/>
        <w:jc w:val="both"/>
      </w:pPr>
      <w:r>
        <w:rPr>
          <w:sz w:val="20"/>
        </w:rPr>
      </w:r>
    </w:p>
    <w:bookmarkStart w:id="110" w:name="P110"/>
    <w:bookmarkEnd w:id="110"/>
    <w:p>
      <w:pPr>
        <w:pStyle w:val="2"/>
        <w:outlineLvl w:val="1"/>
        <w:jc w:val="center"/>
      </w:pPr>
      <w:r>
        <w:rPr>
          <w:sz w:val="20"/>
        </w:rPr>
        <w:t xml:space="preserve">IV. Расчет необходимой валовой выручки методом экономически</w:t>
      </w:r>
    </w:p>
    <w:p>
      <w:pPr>
        <w:pStyle w:val="2"/>
        <w:jc w:val="center"/>
      </w:pPr>
      <w:r>
        <w:rPr>
          <w:sz w:val="20"/>
        </w:rPr>
        <w:t xml:space="preserve">обоснованных расходов (затрат)</w:t>
      </w:r>
    </w:p>
    <w:p>
      <w:pPr>
        <w:pStyle w:val="0"/>
        <w:jc w:val="both"/>
      </w:pPr>
      <w:r>
        <w:rPr>
          <w:sz w:val="20"/>
        </w:rPr>
      </w:r>
    </w:p>
    <w:bookmarkStart w:id="113" w:name="P113"/>
    <w:bookmarkEnd w:id="113"/>
    <w:p>
      <w:pPr>
        <w:pStyle w:val="0"/>
        <w:ind w:firstLine="540"/>
        <w:jc w:val="both"/>
      </w:pPr>
      <w:r>
        <w:rPr>
          <w:sz w:val="20"/>
        </w:rPr>
        <w:t xml:space="preserve">15.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bookmarkStart w:id="114" w:name="P114"/>
    <w:bookmarkEnd w:id="114"/>
    <w:p>
      <w:pPr>
        <w:pStyle w:val="0"/>
        <w:spacing w:before="200" w:lineRule="auto"/>
        <w:ind w:firstLine="540"/>
        <w:jc w:val="both"/>
      </w:pPr>
      <w:r>
        <w:rPr>
          <w:sz w:val="20"/>
        </w:rPr>
        <w:t xml:space="preserve">1) производственных расходов;</w:t>
      </w:r>
    </w:p>
    <w:p>
      <w:pPr>
        <w:pStyle w:val="0"/>
        <w:spacing w:before="200" w:lineRule="auto"/>
        <w:ind w:firstLine="540"/>
        <w:jc w:val="both"/>
      </w:pPr>
      <w:r>
        <w:rPr>
          <w:sz w:val="20"/>
        </w:rPr>
        <w:t xml:space="preserve">2) ремонтных расходов;</w:t>
      </w:r>
    </w:p>
    <w:p>
      <w:pPr>
        <w:pStyle w:val="0"/>
        <w:jc w:val="both"/>
      </w:pPr>
      <w:r>
        <w:rPr>
          <w:sz w:val="20"/>
        </w:rPr>
        <w:t xml:space="preserve">(в ред. </w:t>
      </w:r>
      <w:hyperlink w:history="0" r:id="rId64"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Приказа</w:t>
        </w:r>
      </w:hyperlink>
      <w:r>
        <w:rPr>
          <w:sz w:val="20"/>
        </w:rPr>
        <w:t xml:space="preserve"> ФАС России от 05.07.2022 N 498/22)</w:t>
      </w:r>
    </w:p>
    <w:p>
      <w:pPr>
        <w:pStyle w:val="0"/>
        <w:spacing w:before="200" w:lineRule="auto"/>
        <w:ind w:firstLine="540"/>
        <w:jc w:val="both"/>
      </w:pPr>
      <w:r>
        <w:rPr>
          <w:sz w:val="20"/>
        </w:rPr>
        <w:t xml:space="preserve">3) административных расходов;</w:t>
      </w:r>
    </w:p>
    <w:p>
      <w:pPr>
        <w:pStyle w:val="0"/>
        <w:spacing w:before="200" w:lineRule="auto"/>
        <w:ind w:firstLine="540"/>
        <w:jc w:val="both"/>
      </w:pPr>
      <w:r>
        <w:rPr>
          <w:sz w:val="20"/>
        </w:rPr>
        <w:t xml:space="preserve">4) сбытовых расходов гарантирующих организаций;</w:t>
      </w:r>
    </w:p>
    <w:p>
      <w:pPr>
        <w:pStyle w:val="0"/>
        <w:spacing w:before="200" w:lineRule="auto"/>
        <w:ind w:firstLine="540"/>
        <w:jc w:val="both"/>
      </w:pPr>
      <w:r>
        <w:rPr>
          <w:sz w:val="20"/>
        </w:rPr>
        <w:t xml:space="preserve">5) расходов на амортизацию основных средств и нематериальных активов;</w:t>
      </w:r>
    </w:p>
    <w:p>
      <w:pPr>
        <w:pStyle w:val="0"/>
        <w:spacing w:before="200" w:lineRule="auto"/>
        <w:ind w:firstLine="540"/>
        <w:jc w:val="both"/>
      </w:pPr>
      <w:r>
        <w:rPr>
          <w:sz w:val="20"/>
        </w:rPr>
        <w:t xml:space="preserve">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w:t>
      </w:r>
      <w:hyperlink w:history="0" r:id="rId65"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пунктом 44</w:t>
        </w:r>
      </w:hyperlink>
      <w:r>
        <w:rPr>
          <w:sz w:val="20"/>
        </w:rPr>
        <w:t xml:space="preserve"> Основ ценообразования;</w:t>
      </w:r>
    </w:p>
    <w:bookmarkStart w:id="121" w:name="P121"/>
    <w:bookmarkEnd w:id="121"/>
    <w:p>
      <w:pPr>
        <w:pStyle w:val="0"/>
        <w:spacing w:before="200" w:lineRule="auto"/>
        <w:ind w:firstLine="540"/>
        <w:jc w:val="both"/>
      </w:pPr>
      <w:r>
        <w:rPr>
          <w:sz w:val="20"/>
        </w:rPr>
        <w:t xml:space="preserve">7) расходов, связанных с оплатой налогов и сборов;</w:t>
      </w:r>
    </w:p>
    <w:p>
      <w:pPr>
        <w:pStyle w:val="0"/>
        <w:spacing w:before="200" w:lineRule="auto"/>
        <w:ind w:firstLine="540"/>
        <w:jc w:val="both"/>
      </w:pPr>
      <w:r>
        <w:rPr>
          <w:sz w:val="20"/>
        </w:rPr>
        <w:t xml:space="preserve">8) нормативной прибыли;</w:t>
      </w:r>
    </w:p>
    <w:p>
      <w:pPr>
        <w:pStyle w:val="0"/>
        <w:spacing w:before="200" w:lineRule="auto"/>
        <w:ind w:firstLine="540"/>
        <w:jc w:val="both"/>
      </w:pPr>
      <w:r>
        <w:rPr>
          <w:sz w:val="20"/>
        </w:rPr>
        <w:t xml:space="preserve">9) расчетной предпринимательской прибыли гарантирующей организации.</w:t>
      </w:r>
    </w:p>
    <w:p>
      <w:pPr>
        <w:pStyle w:val="0"/>
        <w:jc w:val="both"/>
      </w:pPr>
      <w:r>
        <w:rPr>
          <w:sz w:val="20"/>
        </w:rPr>
        <w:t xml:space="preserve">(пп. 9 введен </w:t>
      </w:r>
      <w:hyperlink w:history="0" r:id="rId66"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Приказом</w:t>
        </w:r>
      </w:hyperlink>
      <w:r>
        <w:rPr>
          <w:sz w:val="20"/>
        </w:rPr>
        <w:t xml:space="preserve"> ФСТ России от 24.11.2014 N 2054-э)</w:t>
      </w:r>
    </w:p>
    <w:bookmarkStart w:id="125" w:name="P125"/>
    <w:bookmarkEnd w:id="125"/>
    <w:p>
      <w:pPr>
        <w:pStyle w:val="0"/>
        <w:spacing w:before="200" w:lineRule="auto"/>
        <w:ind w:firstLine="540"/>
        <w:jc w:val="both"/>
      </w:pPr>
      <w:r>
        <w:rPr>
          <w:sz w:val="20"/>
        </w:rPr>
        <w:t xml:space="preserve">16.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pPr>
        <w:pStyle w:val="0"/>
        <w:spacing w:before="200" w:lineRule="auto"/>
        <w:ind w:firstLine="540"/>
        <w:jc w:val="both"/>
      </w:pPr>
      <w:r>
        <w:rPr>
          <w:sz w:val="20"/>
        </w:rPr>
        <w:t xml:space="preserve">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pPr>
        <w:pStyle w:val="0"/>
        <w:spacing w:before="200" w:lineRule="auto"/>
        <w:ind w:firstLine="540"/>
        <w:jc w:val="both"/>
      </w:pPr>
      <w:r>
        <w:rPr>
          <w:sz w:val="20"/>
        </w:rPr>
        <w:t xml:space="preserve">б) цены, установленные в договорах, заключенных в результате проведения торгов;</w:t>
      </w:r>
    </w:p>
    <w:bookmarkStart w:id="128" w:name="P128"/>
    <w:bookmarkEnd w:id="128"/>
    <w:p>
      <w:pPr>
        <w:pStyle w:val="0"/>
        <w:spacing w:before="200" w:lineRule="auto"/>
        <w:ind w:firstLine="540"/>
        <w:jc w:val="both"/>
      </w:pPr>
      <w:r>
        <w:rPr>
          <w:sz w:val="20"/>
        </w:rPr>
        <w:t xml:space="preserve">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pPr>
        <w:pStyle w:val="0"/>
        <w:spacing w:before="200" w:lineRule="auto"/>
        <w:ind w:firstLine="540"/>
        <w:jc w:val="both"/>
      </w:pPr>
      <w:r>
        <w:rPr>
          <w:sz w:val="20"/>
        </w:rPr>
        <w:t xml:space="preserve">прогноз индекса потребительских цен (в среднем за год к предыдущему году);</w:t>
      </w:r>
    </w:p>
    <w:p>
      <w:pPr>
        <w:pStyle w:val="0"/>
        <w:spacing w:before="200" w:lineRule="auto"/>
        <w:ind w:firstLine="540"/>
        <w:jc w:val="both"/>
      </w:pPr>
      <w:r>
        <w:rPr>
          <w:sz w:val="20"/>
        </w:rPr>
        <w:t xml:space="preserve">темпы роста цен на природный газ и другие виды топлива;</w:t>
      </w:r>
    </w:p>
    <w:p>
      <w:pPr>
        <w:pStyle w:val="0"/>
        <w:spacing w:before="200" w:lineRule="auto"/>
        <w:ind w:firstLine="540"/>
        <w:jc w:val="both"/>
      </w:pPr>
      <w:r>
        <w:rPr>
          <w:sz w:val="20"/>
        </w:rPr>
        <w:t xml:space="preserve">темпы роста цен на электрическую энергию;</w:t>
      </w:r>
    </w:p>
    <w:p>
      <w:pPr>
        <w:pStyle w:val="0"/>
        <w:spacing w:before="200" w:lineRule="auto"/>
        <w:ind w:firstLine="540"/>
        <w:jc w:val="both"/>
      </w:pPr>
      <w:r>
        <w:rPr>
          <w:sz w:val="20"/>
        </w:rPr>
        <w:t xml:space="preserve">темпы роста заработной платы;</w:t>
      </w:r>
    </w:p>
    <w:p>
      <w:pPr>
        <w:pStyle w:val="0"/>
        <w:spacing w:before="200" w:lineRule="auto"/>
        <w:ind w:firstLine="540"/>
        <w:jc w:val="both"/>
      </w:pPr>
      <w:r>
        <w:rPr>
          <w:sz w:val="20"/>
        </w:rPr>
        <w:t xml:space="preserve">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pPr>
        <w:pStyle w:val="0"/>
        <w:spacing w:before="200" w:lineRule="auto"/>
        <w:ind w:firstLine="540"/>
        <w:jc w:val="both"/>
      </w:pPr>
      <w:r>
        <w:rPr>
          <w:sz w:val="20"/>
        </w:rPr>
        <w:t xml:space="preserve">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00" w:lineRule="auto"/>
        <w:ind w:firstLine="540"/>
        <w:jc w:val="both"/>
      </w:pPr>
      <w:r>
        <w:rPr>
          <w:sz w:val="20"/>
        </w:rPr>
        <w:t xml:space="preserve">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pPr>
        <w:pStyle w:val="0"/>
        <w:spacing w:before="200" w:lineRule="auto"/>
        <w:ind w:firstLine="540"/>
        <w:jc w:val="both"/>
      </w:pPr>
      <w:r>
        <w:rPr>
          <w:sz w:val="20"/>
        </w:rPr>
        <w:t xml:space="preserve">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bookmarkStart w:id="137" w:name="P137"/>
    <w:bookmarkEnd w:id="137"/>
    <w:p>
      <w:pPr>
        <w:pStyle w:val="0"/>
        <w:spacing w:before="200" w:lineRule="auto"/>
        <w:ind w:firstLine="540"/>
        <w:jc w:val="both"/>
      </w:pPr>
      <w:r>
        <w:rPr>
          <w:sz w:val="20"/>
        </w:rPr>
        <w:t xml:space="preserve">17. При определении расходов на оплату труда, включаемых в необходимую валовую выручку, размер фонда оплаты труда определяется в соответствии с </w:t>
      </w:r>
      <w:hyperlink w:history="0" w:anchor="P4141" w:tooltip="Расходы">
        <w:r>
          <w:rPr>
            <w:sz w:val="20"/>
            <w:color w:val="0000ff"/>
          </w:rPr>
          <w:t xml:space="preserve">Приложениями 2.2</w:t>
        </w:r>
      </w:hyperlink>
      <w:r>
        <w:rPr>
          <w:sz w:val="20"/>
        </w:rPr>
        <w:t xml:space="preserve">, </w:t>
      </w:r>
      <w:hyperlink w:history="0" w:anchor="P4849" w:tooltip="Расходы">
        <w:r>
          <w:rPr>
            <w:sz w:val="20"/>
            <w:color w:val="0000ff"/>
          </w:rPr>
          <w:t xml:space="preserve">2.2.1</w:t>
        </w:r>
      </w:hyperlink>
      <w:r>
        <w:rPr>
          <w:sz w:val="20"/>
        </w:rPr>
        <w:t xml:space="preserve"> к настоящим Методическим указаниям.</w:t>
      </w:r>
    </w:p>
    <w:p>
      <w:pPr>
        <w:pStyle w:val="0"/>
        <w:spacing w:before="200" w:lineRule="auto"/>
        <w:ind w:firstLine="540"/>
        <w:jc w:val="both"/>
      </w:pPr>
      <w:r>
        <w:rPr>
          <w:sz w:val="20"/>
        </w:rPr>
        <w:t xml:space="preserve">При определении расходов на оплату труда в порядке приоритетности используются следующие сведения:</w:t>
      </w:r>
    </w:p>
    <w:p>
      <w:pPr>
        <w:pStyle w:val="0"/>
        <w:spacing w:before="200" w:lineRule="auto"/>
        <w:ind w:firstLine="540"/>
        <w:jc w:val="both"/>
      </w:pPr>
      <w:r>
        <w:rPr>
          <w:sz w:val="20"/>
        </w:rPr>
        <w:t xml:space="preserve">параметры отраслевого тарифного соглашения;</w:t>
      </w:r>
    </w:p>
    <w:p>
      <w:pPr>
        <w:pStyle w:val="0"/>
        <w:spacing w:before="200" w:lineRule="auto"/>
        <w:ind w:firstLine="540"/>
        <w:jc w:val="both"/>
      </w:pPr>
      <w:r>
        <w:rPr>
          <w:sz w:val="20"/>
        </w:rPr>
        <w:t xml:space="preserve">параметры трехстороннего соглашения, заключенного представителями работников, работодателей и органов исполнительной власти субъектов Российской Федерации или местного самоуправления (региональное отраслевое соглашение);</w:t>
      </w:r>
    </w:p>
    <w:p>
      <w:pPr>
        <w:pStyle w:val="0"/>
        <w:spacing w:before="200" w:lineRule="auto"/>
        <w:ind w:firstLine="540"/>
        <w:jc w:val="both"/>
      </w:pPr>
      <w:r>
        <w:rPr>
          <w:sz w:val="20"/>
        </w:rPr>
        <w:t xml:space="preserve">размер фонда оплаты труда в последнем расчетном периоде регулирования и фондов оплаты труда в других регулируемых организациях, осуществляющих аналогичные регулируемые виды деятельности в сопоставимых условиях, плановое значение индекса потребительских цен;</w:t>
      </w:r>
    </w:p>
    <w:p>
      <w:pPr>
        <w:pStyle w:val="0"/>
        <w:spacing w:before="200" w:lineRule="auto"/>
        <w:ind w:firstLine="540"/>
        <w:jc w:val="both"/>
      </w:pPr>
      <w:r>
        <w:rPr>
          <w:sz w:val="20"/>
        </w:rPr>
        <w:t xml:space="preserve">условия коллективного договора;</w:t>
      </w:r>
    </w:p>
    <w:p>
      <w:pPr>
        <w:pStyle w:val="0"/>
        <w:spacing w:before="200" w:lineRule="auto"/>
        <w:ind w:firstLine="540"/>
        <w:jc w:val="both"/>
      </w:pPr>
      <w:r>
        <w:rPr>
          <w:sz w:val="20"/>
        </w:rPr>
        <w:t xml:space="preserve">прогнозный индекс потребительских цен.</w:t>
      </w:r>
    </w:p>
    <w:bookmarkStart w:id="144" w:name="P144"/>
    <w:bookmarkEnd w:id="144"/>
    <w:p>
      <w:pPr>
        <w:pStyle w:val="0"/>
        <w:spacing w:before="200" w:lineRule="auto"/>
        <w:ind w:firstLine="540"/>
        <w:jc w:val="both"/>
      </w:pPr>
      <w:r>
        <w:rPr>
          <w:sz w:val="20"/>
        </w:rPr>
        <w:t xml:space="preserve">18. В составе производственных расходов учитываются:</w:t>
      </w:r>
    </w:p>
    <w:p>
      <w:pPr>
        <w:pStyle w:val="0"/>
        <w:spacing w:before="200" w:lineRule="auto"/>
        <w:ind w:firstLine="540"/>
        <w:jc w:val="both"/>
      </w:pPr>
      <w:r>
        <w:rPr>
          <w:sz w:val="20"/>
        </w:rPr>
        <w:t xml:space="preserve">1) расходы на приобретение сырья и материалов и их хранение, в том числе необходимых для эксплуатации цифровой инфраструктуры в сфере водоснабжения и водоотведения;</w:t>
      </w:r>
    </w:p>
    <w:p>
      <w:pPr>
        <w:pStyle w:val="0"/>
        <w:jc w:val="both"/>
      </w:pPr>
      <w:r>
        <w:rPr>
          <w:sz w:val="20"/>
        </w:rPr>
        <w:t xml:space="preserve">(в ред. </w:t>
      </w:r>
      <w:hyperlink w:history="0" r:id="rId67"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sz w:val="20"/>
        </w:rPr>
        <w:t xml:space="preserve">2) расходы на приобретаемые электрическую энергию (мощность), тепловую энергию, другие виды энергетических ресурсов и холодную воду;</w:t>
      </w:r>
    </w:p>
    <w:p>
      <w:pPr>
        <w:pStyle w:val="0"/>
        <w:spacing w:before="200" w:lineRule="auto"/>
        <w:ind w:firstLine="540"/>
        <w:jc w:val="both"/>
      </w:pPr>
      <w:r>
        <w:rPr>
          <w:sz w:val="20"/>
        </w:rPr>
        <w:t xml:space="preserve">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pPr>
        <w:pStyle w:val="0"/>
        <w:spacing w:before="200" w:lineRule="auto"/>
        <w:ind w:firstLine="540"/>
        <w:jc w:val="both"/>
      </w:pPr>
      <w:r>
        <w:rPr>
          <w:sz w:val="20"/>
        </w:rPr>
        <w:t xml:space="preserve">4)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pPr>
        <w:pStyle w:val="0"/>
        <w:jc w:val="both"/>
      </w:pPr>
      <w:r>
        <w:rPr>
          <w:sz w:val="20"/>
        </w:rPr>
        <w:t xml:space="preserve">(пп. 4 в ред. </w:t>
      </w:r>
      <w:hyperlink w:history="0" r:id="rId68"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Приказа</w:t>
        </w:r>
      </w:hyperlink>
      <w:r>
        <w:rPr>
          <w:sz w:val="20"/>
        </w:rPr>
        <w:t xml:space="preserve"> ФАС России от 05.07.2022 N 498/22)</w:t>
      </w:r>
    </w:p>
    <w:p>
      <w:pPr>
        <w:pStyle w:val="0"/>
        <w:spacing w:before="200" w:lineRule="auto"/>
        <w:ind w:firstLine="540"/>
        <w:jc w:val="both"/>
      </w:pPr>
      <w:r>
        <w:rPr>
          <w:sz w:val="20"/>
        </w:rPr>
        <w:t xml:space="preserve">5) расходы на уплату процентов по займам и кредитам, не учитываемые при определении налогооблагаемой базы налога на прибыль;</w:t>
      </w:r>
    </w:p>
    <w:p>
      <w:pPr>
        <w:pStyle w:val="0"/>
        <w:spacing w:before="200" w:lineRule="auto"/>
        <w:ind w:firstLine="540"/>
        <w:jc w:val="both"/>
      </w:pPr>
      <w:r>
        <w:rPr>
          <w:sz w:val="20"/>
        </w:rPr>
        <w:t xml:space="preserve">6) общехозяйственные расходы, в том числе расходы на оплату работ и (или) услуг по эксплуатации цифровой инфраструктуры в сфере водоснабжения и водоотведения, выполняемых по договорам сторонними организациями, определяемые в соответствии с Методическими указаниями;</w:t>
      </w:r>
    </w:p>
    <w:p>
      <w:pPr>
        <w:pStyle w:val="0"/>
        <w:jc w:val="both"/>
      </w:pPr>
      <w:r>
        <w:rPr>
          <w:sz w:val="20"/>
        </w:rPr>
        <w:t xml:space="preserve">(в ред. </w:t>
      </w:r>
      <w:hyperlink w:history="0" r:id="rId69"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sz w:val="20"/>
        </w:rPr>
        <w:t xml:space="preserve">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pPr>
        <w:pStyle w:val="0"/>
        <w:spacing w:before="200" w:lineRule="auto"/>
        <w:ind w:firstLine="540"/>
        <w:jc w:val="both"/>
      </w:pPr>
      <w:r>
        <w:rPr>
          <w:sz w:val="20"/>
        </w:rPr>
        <w:t xml:space="preserve">расходы на обезвоживание, обезвреживание и захоронение осадка сточных вод;</w:t>
      </w:r>
    </w:p>
    <w:p>
      <w:pPr>
        <w:pStyle w:val="0"/>
        <w:spacing w:before="200" w:lineRule="auto"/>
        <w:ind w:firstLine="540"/>
        <w:jc w:val="both"/>
      </w:pPr>
      <w:r>
        <w:rPr>
          <w:sz w:val="20"/>
        </w:rPr>
        <w:t xml:space="preserve">расходы на осуществление производственного контроля качества воды и производственного контроля состава и свойств сточных вод, включая расходы на оборудование лабораторий, приобретение приборов, используемых для анализа качества воды, состава и свойств сточных вод (за исключением расходов на контроль состава и свойств сточных вод абонентов);</w:t>
      </w:r>
    </w:p>
    <w:p>
      <w:pPr>
        <w:pStyle w:val="0"/>
        <w:jc w:val="both"/>
      </w:pPr>
      <w:r>
        <w:rPr>
          <w:sz w:val="20"/>
        </w:rPr>
        <w:t xml:space="preserve">(в ред. </w:t>
      </w:r>
      <w:hyperlink w:history="0" r:id="rId70"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Приказа</w:t>
        </w:r>
      </w:hyperlink>
      <w:r>
        <w:rPr>
          <w:sz w:val="20"/>
        </w:rPr>
        <w:t xml:space="preserve"> ФАС России от 05.07.2022 N 498/22)</w:t>
      </w:r>
    </w:p>
    <w:p>
      <w:pPr>
        <w:pStyle w:val="0"/>
        <w:spacing w:before="200" w:lineRule="auto"/>
        <w:ind w:firstLine="540"/>
        <w:jc w:val="both"/>
      </w:pPr>
      <w:r>
        <w:rPr>
          <w:sz w:val="20"/>
        </w:rPr>
        <w:t xml:space="preserve">расходы на аварийно-диспетчерское обслуживание.</w:t>
      </w:r>
    </w:p>
    <w:p>
      <w:pPr>
        <w:pStyle w:val="0"/>
        <w:spacing w:before="200" w:lineRule="auto"/>
        <w:ind w:firstLine="540"/>
        <w:jc w:val="both"/>
      </w:pPr>
      <w:r>
        <w:rPr>
          <w:sz w:val="20"/>
        </w:rPr>
        <w:t xml:space="preserve">В состав расходов на уплату процентов по займам и кредитам, не учитываемых при определении налоговой базы налога на прибыль, включаются расходы по кредитам на покрытие кассовых разрывов, целевым кредитам на производственные нужды, за исключением иных видов кредитов.</w:t>
      </w:r>
    </w:p>
    <w:p>
      <w:pPr>
        <w:pStyle w:val="0"/>
        <w:spacing w:before="200" w:lineRule="auto"/>
        <w:ind w:firstLine="540"/>
        <w:jc w:val="both"/>
      </w:pPr>
      <w:r>
        <w:rPr>
          <w:sz w:val="20"/>
        </w:rPr>
        <w:t xml:space="preserve">19.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 Регулируемая организация представляет в органы регулирования тарифов информацию согласно </w:t>
      </w:r>
      <w:hyperlink w:history="0" w:anchor="P3105" w:tooltip="Расходы на сырье и материалы">
        <w:r>
          <w:rPr>
            <w:sz w:val="20"/>
            <w:color w:val="0000ff"/>
          </w:rPr>
          <w:t xml:space="preserve">Приложениям 2.1</w:t>
        </w:r>
      </w:hyperlink>
      <w:r>
        <w:rPr>
          <w:sz w:val="20"/>
        </w:rPr>
        <w:t xml:space="preserve"> - </w:t>
      </w:r>
      <w:hyperlink w:history="0" w:anchor="P3172" w:tooltip="Расходы на сырье и материалы">
        <w:r>
          <w:rPr>
            <w:sz w:val="20"/>
            <w:color w:val="0000ff"/>
          </w:rPr>
          <w:t xml:space="preserve">2.1.1</w:t>
        </w:r>
      </w:hyperlink>
      <w:r>
        <w:rPr>
          <w:sz w:val="20"/>
        </w:rPr>
        <w:t xml:space="preserve"> к настоящим Методическим указаниям в отношении реагентов, горюче-смазочных материалов и других видов сырья и материалов, расходы на которые составляют более 5 процентов общей величины расходов на сырье и материалы.</w:t>
      </w:r>
    </w:p>
    <w:bookmarkStart w:id="161" w:name="P161"/>
    <w:bookmarkEnd w:id="161"/>
    <w:p>
      <w:pPr>
        <w:pStyle w:val="0"/>
        <w:spacing w:before="200" w:lineRule="auto"/>
        <w:ind w:firstLine="540"/>
        <w:jc w:val="both"/>
      </w:pPr>
      <w:r>
        <w:rPr>
          <w:sz w:val="20"/>
        </w:rPr>
        <w:t xml:space="preserve">20.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w:t>
      </w:r>
      <w:hyperlink w:history="0" w:anchor="P3354" w:tooltip="Расходы на приобретение электрической энергии">
        <w:r>
          <w:rPr>
            <w:sz w:val="20"/>
            <w:color w:val="0000ff"/>
          </w:rPr>
          <w:t xml:space="preserve">Приложения 2.1.2</w:t>
        </w:r>
      </w:hyperlink>
      <w:r>
        <w:rPr>
          <w:sz w:val="20"/>
        </w:rPr>
        <w:t xml:space="preserve"> - </w:t>
      </w:r>
      <w:hyperlink w:history="0" w:anchor="P4071" w:tooltip="Расходы на приобретение холодной воды">
        <w:r>
          <w:rPr>
            <w:sz w:val="20"/>
            <w:color w:val="0000ff"/>
          </w:rPr>
          <w:t xml:space="preserve">2.1.6</w:t>
        </w:r>
      </w:hyperlink>
      <w:r>
        <w:rPr>
          <w:sz w:val="20"/>
        </w:rPr>
        <w:t xml:space="preserve"> к настоящим Методическим указаниям).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pPr>
        <w:pStyle w:val="0"/>
        <w:spacing w:before="200" w:lineRule="auto"/>
        <w:ind w:firstLine="540"/>
        <w:jc w:val="both"/>
      </w:pPr>
      <w:r>
        <w:rPr>
          <w:sz w:val="20"/>
        </w:rPr>
        <w:t xml:space="preserve">В необходимую валовую выручку регулируемой организации включаются расходы на приобретение электрической энергии (мощности) в объеме, определенном исходя из удельных расходов на электрическую энергию в расчете на объем воды, в отношении которой осуществляется водоподготовка, и (или) на объем транспортируемой воды (объем сточных вод, подвергающихся очистке, и (или) объем транспортируемых сточных вод), и объема используемой мощности, а также исходя из плановых (расчетных) цен (тарифов) на электрическую энергию (мощность).</w:t>
      </w:r>
    </w:p>
    <w:p>
      <w:pPr>
        <w:pStyle w:val="0"/>
        <w:jc w:val="both"/>
      </w:pPr>
      <w:r>
        <w:rPr>
          <w:sz w:val="20"/>
        </w:rPr>
        <w:t xml:space="preserve">(абзац введен </w:t>
      </w:r>
      <w:hyperlink w:history="0" r:id="rId71"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Приказом</w:t>
        </w:r>
      </w:hyperlink>
      <w:r>
        <w:rPr>
          <w:sz w:val="20"/>
        </w:rPr>
        <w:t xml:space="preserve"> ФАС России от 08.10.2020 N 976/20)</w:t>
      </w:r>
    </w:p>
    <w:p>
      <w:pPr>
        <w:pStyle w:val="0"/>
        <w:spacing w:before="200" w:lineRule="auto"/>
        <w:ind w:firstLine="540"/>
        <w:jc w:val="both"/>
      </w:pPr>
      <w:r>
        <w:rPr>
          <w:sz w:val="20"/>
        </w:rPr>
        <w:t xml:space="preserve">21. Расходы регулируемой организации на приобретаемую горячую воду учитываются в составе расходов на тепловую энергию (мощность) и расходов на теплоноситель.</w:t>
      </w:r>
    </w:p>
    <w:bookmarkStart w:id="165" w:name="P165"/>
    <w:bookmarkEnd w:id="165"/>
    <w:p>
      <w:pPr>
        <w:pStyle w:val="0"/>
        <w:spacing w:before="200" w:lineRule="auto"/>
        <w:ind w:firstLine="540"/>
        <w:jc w:val="both"/>
      </w:pPr>
      <w:r>
        <w:rPr>
          <w:sz w:val="20"/>
        </w:rPr>
        <w:t xml:space="preserve">22. Расходы, связанные с обслуживанием заемных средств,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тысяч человек, указанная ставка процента может быть с учетом региональных особенностей определена в размере ставки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pPr>
        <w:pStyle w:val="0"/>
        <w:jc w:val="both"/>
      </w:pPr>
      <w:r>
        <w:rPr>
          <w:sz w:val="20"/>
        </w:rPr>
        <w:t xml:space="preserve">(п. 22 в ред. </w:t>
      </w:r>
      <w:hyperlink w:history="0" r:id="rId72"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bookmarkStart w:id="167" w:name="P167"/>
    <w:bookmarkEnd w:id="167"/>
    <w:p>
      <w:pPr>
        <w:pStyle w:val="0"/>
        <w:spacing w:before="200" w:lineRule="auto"/>
        <w:ind w:firstLine="540"/>
        <w:jc w:val="both"/>
      </w:pPr>
      <w:r>
        <w:rPr>
          <w:sz w:val="20"/>
        </w:rPr>
        <w:t xml:space="preserve">23. В составе ремонтных расходов учитываются:</w:t>
      </w:r>
    </w:p>
    <w:p>
      <w:pPr>
        <w:pStyle w:val="0"/>
        <w:spacing w:before="200" w:lineRule="auto"/>
        <w:ind w:firstLine="540"/>
        <w:jc w:val="both"/>
      </w:pPr>
      <w:r>
        <w:rPr>
          <w:sz w:val="20"/>
        </w:rPr>
        <w:t xml:space="preserve">1) расходы на текущий ремонт централизованных систем водоснабжения и (или) водоотведения либо объектов, входящих в состав таких систем;</w:t>
      </w:r>
    </w:p>
    <w:p>
      <w:pPr>
        <w:pStyle w:val="0"/>
        <w:spacing w:before="200" w:lineRule="auto"/>
        <w:ind w:firstLine="540"/>
        <w:jc w:val="both"/>
      </w:pPr>
      <w:r>
        <w:rPr>
          <w:sz w:val="20"/>
        </w:rPr>
        <w:t xml:space="preserve">2) расходы на капитальный ремонт централизованных систем водоснабжения и (или) водоотведения либо объектов, входящих в состав таких систем;</w:t>
      </w:r>
    </w:p>
    <w:p>
      <w:pPr>
        <w:pStyle w:val="0"/>
        <w:spacing w:before="200" w:lineRule="auto"/>
        <w:ind w:firstLine="540"/>
        <w:jc w:val="both"/>
      </w:pPr>
      <w:r>
        <w:rPr>
          <w:sz w:val="20"/>
        </w:rPr>
        <w:t xml:space="preserve">3) расходы на оплату труда и страховые взносы на обязательное социальное страхование, выплачиваемые из фонда оплаты труда ремонтного персонала.</w:t>
      </w:r>
    </w:p>
    <w:p>
      <w:pPr>
        <w:pStyle w:val="0"/>
        <w:jc w:val="both"/>
      </w:pPr>
      <w:r>
        <w:rPr>
          <w:sz w:val="20"/>
        </w:rPr>
        <w:t xml:space="preserve">(пп. 3 в ред. </w:t>
      </w:r>
      <w:hyperlink w:history="0" r:id="rId73"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Приказа</w:t>
        </w:r>
      </w:hyperlink>
      <w:r>
        <w:rPr>
          <w:sz w:val="20"/>
        </w:rPr>
        <w:t xml:space="preserve"> ФАС России от 05.07.2022 N 498/22)</w:t>
      </w:r>
    </w:p>
    <w:bookmarkStart w:id="172" w:name="P172"/>
    <w:bookmarkEnd w:id="172"/>
    <w:p>
      <w:pPr>
        <w:pStyle w:val="0"/>
        <w:spacing w:before="200" w:lineRule="auto"/>
        <w:ind w:firstLine="540"/>
        <w:jc w:val="both"/>
      </w:pPr>
      <w:r>
        <w:rPr>
          <w:sz w:val="20"/>
        </w:rPr>
        <w:t xml:space="preserve">24. При определении расходов регулируемой организации на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pPr>
        <w:pStyle w:val="0"/>
        <w:jc w:val="both"/>
      </w:pPr>
      <w:r>
        <w:rPr>
          <w:sz w:val="20"/>
        </w:rPr>
        <w:t xml:space="preserve">(п. 24 в ред. </w:t>
      </w:r>
      <w:hyperlink w:history="0" r:id="rId74"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Приказа</w:t>
        </w:r>
      </w:hyperlink>
      <w:r>
        <w:rPr>
          <w:sz w:val="20"/>
        </w:rPr>
        <w:t xml:space="preserve"> ФАС России от 05.07.2022 N 498/22)</w:t>
      </w:r>
    </w:p>
    <w:bookmarkStart w:id="174" w:name="P174"/>
    <w:bookmarkEnd w:id="174"/>
    <w:p>
      <w:pPr>
        <w:pStyle w:val="0"/>
        <w:spacing w:before="200" w:lineRule="auto"/>
        <w:ind w:firstLine="540"/>
        <w:jc w:val="both"/>
      </w:pPr>
      <w:r>
        <w:rPr>
          <w:sz w:val="20"/>
        </w:rPr>
        <w:t xml:space="preserve">25. К административным расходам относятся:</w:t>
      </w:r>
    </w:p>
    <w:p>
      <w:pPr>
        <w:pStyle w:val="0"/>
        <w:spacing w:before="200" w:lineRule="auto"/>
        <w:ind w:firstLine="540"/>
        <w:jc w:val="both"/>
      </w:pPr>
      <w:r>
        <w:rPr>
          <w:sz w:val="20"/>
        </w:rPr>
        <w:t xml:space="preserve">1)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p>
      <w:pPr>
        <w:pStyle w:val="0"/>
        <w:jc w:val="both"/>
      </w:pPr>
      <w:r>
        <w:rPr>
          <w:sz w:val="20"/>
        </w:rPr>
        <w:t xml:space="preserve">(в ред. </w:t>
      </w:r>
      <w:hyperlink w:history="0" r:id="rId75"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p>
      <w:pPr>
        <w:pStyle w:val="0"/>
        <w:spacing w:before="200" w:lineRule="auto"/>
        <w:ind w:firstLine="540"/>
        <w:jc w:val="both"/>
      </w:pPr>
      <w:r>
        <w:rPr>
          <w:sz w:val="20"/>
        </w:rPr>
        <w:t xml:space="preserve">2) 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pPr>
        <w:pStyle w:val="0"/>
        <w:jc w:val="both"/>
      </w:pPr>
      <w:r>
        <w:rPr>
          <w:sz w:val="20"/>
        </w:rPr>
        <w:t xml:space="preserve">(пп. 2 в ред. </w:t>
      </w:r>
      <w:hyperlink w:history="0" r:id="rId76"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Приказа</w:t>
        </w:r>
      </w:hyperlink>
      <w:r>
        <w:rPr>
          <w:sz w:val="20"/>
        </w:rPr>
        <w:t xml:space="preserve"> ФАС России от 05.07.2022 N 498/22)</w:t>
      </w:r>
    </w:p>
    <w:p>
      <w:pPr>
        <w:pStyle w:val="0"/>
        <w:spacing w:before="200" w:lineRule="auto"/>
        <w:ind w:firstLine="540"/>
        <w:jc w:val="both"/>
      </w:pPr>
      <w:r>
        <w:rPr>
          <w:sz w:val="20"/>
        </w:rPr>
        <w:t xml:space="preserve">3)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pPr>
        <w:pStyle w:val="0"/>
        <w:spacing w:before="200" w:lineRule="auto"/>
        <w:ind w:firstLine="540"/>
        <w:jc w:val="both"/>
      </w:pPr>
      <w:r>
        <w:rPr>
          <w:sz w:val="20"/>
        </w:rPr>
        <w:t xml:space="preserve">4) расходы на служебные командировки;</w:t>
      </w:r>
    </w:p>
    <w:p>
      <w:pPr>
        <w:pStyle w:val="0"/>
        <w:spacing w:before="200" w:lineRule="auto"/>
        <w:ind w:firstLine="540"/>
        <w:jc w:val="both"/>
      </w:pPr>
      <w:r>
        <w:rPr>
          <w:sz w:val="20"/>
        </w:rPr>
        <w:t xml:space="preserve">5) расходы на обучение персонала;</w:t>
      </w:r>
    </w:p>
    <w:p>
      <w:pPr>
        <w:pStyle w:val="0"/>
        <w:spacing w:before="200" w:lineRule="auto"/>
        <w:ind w:firstLine="540"/>
        <w:jc w:val="both"/>
      </w:pPr>
      <w:r>
        <w:rPr>
          <w:sz w:val="20"/>
        </w:rPr>
        <w:t xml:space="preserve">6) расходы на страхование производственных объектов, учитываемые при определении базы по налогу на прибыль;</w:t>
      </w:r>
    </w:p>
    <w:p>
      <w:pPr>
        <w:pStyle w:val="0"/>
        <w:spacing w:before="200" w:lineRule="auto"/>
        <w:ind w:firstLine="540"/>
        <w:jc w:val="both"/>
      </w:pPr>
      <w:r>
        <w:rPr>
          <w:sz w:val="20"/>
        </w:rPr>
        <w:t xml:space="preserve">7) прочие расходы:</w:t>
      </w:r>
    </w:p>
    <w:p>
      <w:pPr>
        <w:pStyle w:val="0"/>
        <w:spacing w:before="200" w:lineRule="auto"/>
        <w:ind w:firstLine="540"/>
        <w:jc w:val="both"/>
      </w:pPr>
      <w:r>
        <w:rPr>
          <w:sz w:val="20"/>
        </w:rPr>
        <w:t xml:space="preserve">расходы на амортизацию непроизводственных активов;</w:t>
      </w:r>
    </w:p>
    <w:p>
      <w:pPr>
        <w:pStyle w:val="0"/>
        <w:spacing w:before="200" w:lineRule="auto"/>
        <w:ind w:firstLine="540"/>
        <w:jc w:val="both"/>
      </w:pPr>
      <w:r>
        <w:rPr>
          <w:sz w:val="20"/>
        </w:rPr>
        <w:t xml:space="preserve">расходы на оплату услуг сторонних организаций по обеспечению безопасности функционирования объектов централизованных систем водоснабжения и водоотведения, в том числе расходы на защиту от террористических угроз.</w:t>
      </w:r>
    </w:p>
    <w:bookmarkStart w:id="186" w:name="P186"/>
    <w:bookmarkEnd w:id="186"/>
    <w:p>
      <w:pPr>
        <w:pStyle w:val="0"/>
        <w:spacing w:before="200" w:lineRule="auto"/>
        <w:ind w:firstLine="540"/>
        <w:jc w:val="both"/>
      </w:pPr>
      <w:r>
        <w:rPr>
          <w:sz w:val="20"/>
        </w:rPr>
        <w:t xml:space="preserve">26. К сбытовым расходам гарантирующей организации относятся:</w:t>
      </w:r>
    </w:p>
    <w:p>
      <w:pPr>
        <w:pStyle w:val="0"/>
        <w:spacing w:before="200" w:lineRule="auto"/>
        <w:ind w:firstLine="540"/>
        <w:jc w:val="both"/>
      </w:pPr>
      <w:r>
        <w:rPr>
          <w:sz w:val="20"/>
        </w:rPr>
        <w:t xml:space="preserve">1) расходы на приобретение материалов, связанные со сбытовой деятельностью, за исключением расходов, учтенных в расходах на содержание помещений, используемых при осуществлении сбытовой деятельности;</w:t>
      </w:r>
    </w:p>
    <w:p>
      <w:pPr>
        <w:pStyle w:val="0"/>
        <w:spacing w:before="200" w:lineRule="auto"/>
        <w:ind w:firstLine="540"/>
        <w:jc w:val="both"/>
      </w:pPr>
      <w:r>
        <w:rPr>
          <w:sz w:val="20"/>
        </w:rPr>
        <w:t xml:space="preserve">2) расходы на содержание помещений, используемых при осуществлении сбытовой деятельности, определяемые в соответствии с настоящими методическими указаниями, в том числе:</w:t>
      </w:r>
    </w:p>
    <w:p>
      <w:pPr>
        <w:pStyle w:val="0"/>
        <w:spacing w:before="200" w:lineRule="auto"/>
        <w:ind w:firstLine="540"/>
        <w:jc w:val="both"/>
      </w:pPr>
      <w:r>
        <w:rPr>
          <w:sz w:val="20"/>
        </w:rPr>
        <w:t xml:space="preserve">расходы на приобретение сырья и материалов;</w:t>
      </w:r>
    </w:p>
    <w:p>
      <w:pPr>
        <w:pStyle w:val="0"/>
        <w:spacing w:before="200" w:lineRule="auto"/>
        <w:ind w:firstLine="540"/>
        <w:jc w:val="both"/>
      </w:pPr>
      <w:r>
        <w:rPr>
          <w:sz w:val="20"/>
        </w:rPr>
        <w:t xml:space="preserve">расходы на приобретаемые электрическую энергию (мощность), тепловую энергию, другие виды энергетических ресурсов и холодную воду;</w:t>
      </w:r>
    </w:p>
    <w:p>
      <w:pPr>
        <w:pStyle w:val="0"/>
        <w:spacing w:before="200" w:lineRule="auto"/>
        <w:ind w:firstLine="540"/>
        <w:jc w:val="both"/>
      </w:pPr>
      <w:r>
        <w:rPr>
          <w:sz w:val="20"/>
        </w:rPr>
        <w:t xml:space="preserve">расходы на оплату выполняемых работ и услуг сторонними организациями, связанных с содержанием помещений в части сбытовой деятельности;</w:t>
      </w:r>
    </w:p>
    <w:p>
      <w:pPr>
        <w:pStyle w:val="0"/>
        <w:spacing w:before="200" w:lineRule="auto"/>
        <w:ind w:firstLine="540"/>
        <w:jc w:val="both"/>
      </w:pPr>
      <w:r>
        <w:rPr>
          <w:sz w:val="20"/>
        </w:rPr>
        <w:t xml:space="preserve">3) расходы на оплату труда, страховые взносы на обязательное социальное страхование, выплачиваемые из фонда оплаты труда сбытового персонала;</w:t>
      </w:r>
    </w:p>
    <w:p>
      <w:pPr>
        <w:pStyle w:val="0"/>
        <w:spacing w:before="200" w:lineRule="auto"/>
        <w:ind w:firstLine="540"/>
        <w:jc w:val="both"/>
      </w:pPr>
      <w:r>
        <w:rPr>
          <w:sz w:val="20"/>
        </w:rPr>
        <w:t xml:space="preserve">4) расходы на амортизацию основных средств и нематериальных активов, используемых при осуществлении сбытовой деятельности;</w:t>
      </w:r>
    </w:p>
    <w:p>
      <w:pPr>
        <w:pStyle w:val="0"/>
        <w:spacing w:before="200" w:lineRule="auto"/>
        <w:ind w:firstLine="540"/>
        <w:jc w:val="both"/>
      </w:pPr>
      <w:r>
        <w:rPr>
          <w:sz w:val="20"/>
        </w:rPr>
        <w:t xml:space="preserve">5) расходы на аренду, лизинг имущества, используемого при осуществлении сбытовой деятельности;</w:t>
      </w:r>
    </w:p>
    <w:p>
      <w:pPr>
        <w:pStyle w:val="0"/>
        <w:spacing w:before="200" w:lineRule="auto"/>
        <w:ind w:firstLine="540"/>
        <w:jc w:val="both"/>
      </w:pPr>
      <w:r>
        <w:rPr>
          <w:sz w:val="20"/>
        </w:rPr>
        <w:t xml:space="preserve">6) расходы на уплату процентов по займам и кредитам, привлечение которых обосновано ростом дебиторской задолженности абонентов за регулируемые услуги водоснабжения и (или) водоотведения, при этом процентная ставка по таким займам и кредитам принимается с учетом положений </w:t>
      </w:r>
      <w:hyperlink w:history="0" w:anchor="P165" w:tooltip="22. Расходы, связанные с обслуживанием заемных средств,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
        <w:r>
          <w:rPr>
            <w:sz w:val="20"/>
            <w:color w:val="0000ff"/>
          </w:rPr>
          <w:t xml:space="preserve">пункта 22</w:t>
        </w:r>
      </w:hyperlink>
      <w:r>
        <w:rPr>
          <w:sz w:val="20"/>
        </w:rPr>
        <w:t xml:space="preserve"> настоящих методических указаний;</w:t>
      </w:r>
    </w:p>
    <w:p>
      <w:pPr>
        <w:pStyle w:val="0"/>
        <w:spacing w:before="200" w:lineRule="auto"/>
        <w:ind w:firstLine="540"/>
        <w:jc w:val="both"/>
      </w:pPr>
      <w:r>
        <w:rPr>
          <w:sz w:val="20"/>
        </w:rPr>
        <w:t xml:space="preserve">7) расходы на оплату работ и (или) услуг, выполняемых сторонними организациями или индивидуальными предпринимателями, связанных со сбытовой деятельностью, в экономически обоснованном размере и прочие расходы, связанные со сбытовой деятельностью, в том числе:</w:t>
      </w:r>
    </w:p>
    <w:p>
      <w:pPr>
        <w:pStyle w:val="0"/>
        <w:spacing w:before="200" w:lineRule="auto"/>
        <w:ind w:firstLine="540"/>
        <w:jc w:val="both"/>
      </w:pPr>
      <w:r>
        <w:rPr>
          <w:sz w:val="20"/>
        </w:rPr>
        <w:t xml:space="preserve">ремонт и техническое обслуживание подрядным способом;</w:t>
      </w:r>
    </w:p>
    <w:p>
      <w:pPr>
        <w:pStyle w:val="0"/>
        <w:spacing w:before="200" w:lineRule="auto"/>
        <w:ind w:firstLine="540"/>
        <w:jc w:val="both"/>
      </w:pPr>
      <w:r>
        <w:rPr>
          <w:sz w:val="20"/>
        </w:rPr>
        <w:t xml:space="preserve">автоматизация и сопровождение действующего программного обеспечения;</w:t>
      </w:r>
    </w:p>
    <w:p>
      <w:pPr>
        <w:pStyle w:val="0"/>
        <w:spacing w:before="200" w:lineRule="auto"/>
        <w:ind w:firstLine="540"/>
        <w:jc w:val="both"/>
      </w:pPr>
      <w:r>
        <w:rPr>
          <w:sz w:val="20"/>
        </w:rPr>
        <w:t xml:space="preserve">транспортные и логистические услуги;</w:t>
      </w:r>
    </w:p>
    <w:p>
      <w:pPr>
        <w:pStyle w:val="0"/>
        <w:spacing w:before="200" w:lineRule="auto"/>
        <w:ind w:firstLine="540"/>
        <w:jc w:val="both"/>
      </w:pPr>
      <w:r>
        <w:rPr>
          <w:sz w:val="20"/>
        </w:rPr>
        <w:t xml:space="preserve">услуги связи, юридические, архивные услуги;</w:t>
      </w:r>
    </w:p>
    <w:p>
      <w:pPr>
        <w:pStyle w:val="0"/>
        <w:spacing w:before="200" w:lineRule="auto"/>
        <w:ind w:firstLine="540"/>
        <w:jc w:val="both"/>
      </w:pPr>
      <w:r>
        <w:rPr>
          <w:sz w:val="20"/>
        </w:rPr>
        <w:t xml:space="preserve">обучение сбытового персонала;</w:t>
      </w:r>
    </w:p>
    <w:p>
      <w:pPr>
        <w:pStyle w:val="0"/>
        <w:spacing w:before="200" w:lineRule="auto"/>
        <w:ind w:firstLine="540"/>
        <w:jc w:val="both"/>
      </w:pPr>
      <w:r>
        <w:rPr>
          <w:sz w:val="20"/>
        </w:rPr>
        <w:t xml:space="preserve">контроль состава и свойств сточных вод, сбрасываемых абонентами в централизованную систему водоотведения;</w:t>
      </w:r>
    </w:p>
    <w:p>
      <w:pPr>
        <w:pStyle w:val="0"/>
        <w:spacing w:before="200" w:lineRule="auto"/>
        <w:ind w:firstLine="540"/>
        <w:jc w:val="both"/>
      </w:pPr>
      <w:r>
        <w:rPr>
          <w:sz w:val="20"/>
        </w:rPr>
        <w:t xml:space="preserve">услуги банков и расчетных центров, услуг по снятию и сбору показаний приборов учета, услуг по истребованию задолженности по оплате коммунальных услуг с учетом положения </w:t>
      </w:r>
      <w:hyperlink w:history="0" w:anchor="P206" w:tooltip="27. При установлении тарифов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Правилами содер...">
        <w:r>
          <w:rPr>
            <w:sz w:val="20"/>
            <w:color w:val="0000ff"/>
          </w:rPr>
          <w:t xml:space="preserve">пункта 27</w:t>
        </w:r>
      </w:hyperlink>
      <w:r>
        <w:rPr>
          <w:sz w:val="20"/>
        </w:rPr>
        <w:t xml:space="preserve"> настоящих методических указаний;</w:t>
      </w:r>
    </w:p>
    <w:p>
      <w:pPr>
        <w:pStyle w:val="0"/>
        <w:spacing w:before="200" w:lineRule="auto"/>
        <w:ind w:firstLine="540"/>
        <w:jc w:val="both"/>
      </w:pPr>
      <w:r>
        <w:rPr>
          <w:sz w:val="20"/>
        </w:rPr>
        <w:t xml:space="preserve">8) расходы на формирование резервов по сомнительным долгам (дебиторской задолженности) в размере не более 2 процентов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Величина фактических расходов на формирование резервов по сомнительным долгам определяется с учетом корректировки резерва в течение рассматриваемого периода, его прироста и восстановления, связанного с увеличением либо погашением задолженности, ранее признанной сомнительной.</w:t>
      </w:r>
    </w:p>
    <w:p>
      <w:pPr>
        <w:pStyle w:val="0"/>
        <w:jc w:val="both"/>
      </w:pPr>
      <w:r>
        <w:rPr>
          <w:sz w:val="20"/>
        </w:rPr>
        <w:t xml:space="preserve">(п. 26 в ред. </w:t>
      </w:r>
      <w:hyperlink w:history="0" r:id="rId77"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Приказа</w:t>
        </w:r>
      </w:hyperlink>
      <w:r>
        <w:rPr>
          <w:sz w:val="20"/>
        </w:rPr>
        <w:t xml:space="preserve"> ФАС России от 05.07.2022 N 498/22)</w:t>
      </w:r>
    </w:p>
    <w:bookmarkStart w:id="206" w:name="P206"/>
    <w:bookmarkEnd w:id="206"/>
    <w:p>
      <w:pPr>
        <w:pStyle w:val="0"/>
        <w:spacing w:before="200" w:lineRule="auto"/>
        <w:ind w:firstLine="540"/>
        <w:jc w:val="both"/>
      </w:pPr>
      <w:r>
        <w:rPr>
          <w:sz w:val="20"/>
        </w:rPr>
        <w:t xml:space="preserve">27. При установлении тарифов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w:t>
      </w:r>
      <w:hyperlink w:history="0" r:id="rId7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(Собрание законодательства Российской Федерации, 2006, N 34, ст. 3680; 2011, N 22, ст. 3168; 2013, N 21, ст. 2648).</w:t>
      </w:r>
    </w:p>
    <w:bookmarkStart w:id="207" w:name="P207"/>
    <w:bookmarkEnd w:id="207"/>
    <w:p>
      <w:pPr>
        <w:pStyle w:val="0"/>
        <w:spacing w:before="200" w:lineRule="auto"/>
        <w:ind w:firstLine="540"/>
        <w:jc w:val="both"/>
      </w:pPr>
      <w:r>
        <w:rPr>
          <w:sz w:val="20"/>
        </w:rPr>
        <w:t xml:space="preserve">28.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pPr>
        <w:pStyle w:val="0"/>
        <w:spacing w:before="200" w:lineRule="auto"/>
        <w:ind w:firstLine="540"/>
        <w:jc w:val="both"/>
      </w:pPr>
      <w:r>
        <w:rPr>
          <w:sz w:val="20"/>
        </w:rPr>
        <w:t xml:space="preserve">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pPr>
        <w:pStyle w:val="0"/>
        <w:spacing w:before="200" w:lineRule="auto"/>
        <w:ind w:firstLine="540"/>
        <w:jc w:val="both"/>
      </w:pPr>
      <w:r>
        <w:rPr>
          <w:sz w:val="20"/>
        </w:rPr>
        <w:t xml:space="preserve">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pPr>
        <w:pStyle w:val="0"/>
        <w:spacing w:before="200" w:lineRule="auto"/>
        <w:ind w:firstLine="540"/>
        <w:jc w:val="both"/>
      </w:pPr>
      <w:r>
        <w:rPr>
          <w:sz w:val="20"/>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w:history="0" r:id="rId79"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(Собрание законодательства Российской Федерации, 2002, N 1, ст. 52; 2020, N 1, ст. 104).</w:t>
      </w:r>
    </w:p>
    <w:p>
      <w:pPr>
        <w:pStyle w:val="0"/>
        <w:spacing w:before="200" w:lineRule="auto"/>
        <w:ind w:firstLine="540"/>
        <w:jc w:val="both"/>
      </w:pPr>
      <w:r>
        <w:rPr>
          <w:sz w:val="20"/>
        </w:rPr>
        <w:t xml:space="preserve">Амортизация по объектам основных средств и нематериальных активов,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pPr>
        <w:pStyle w:val="0"/>
        <w:jc w:val="both"/>
      </w:pPr>
      <w:r>
        <w:rPr>
          <w:sz w:val="20"/>
        </w:rPr>
        <w:t xml:space="preserve">(п. 28 в ред. </w:t>
      </w:r>
      <w:hyperlink w:history="0" r:id="rId80" w:tooltip="Приказ ФАС России от 05.07.2022 N 498/22 &quot;О внесении изменений в приказы ФСТ России от 27 декабря 2013 г. N 1746-э и от 16 июля 2014 г. N 1154-э&quot; (Зарегистрировано в Минюсте России 25.07.2022 N 69379) {КонсультантПлюс}">
        <w:r>
          <w:rPr>
            <w:sz w:val="20"/>
            <w:color w:val="0000ff"/>
          </w:rPr>
          <w:t xml:space="preserve">Приказа</w:t>
        </w:r>
      </w:hyperlink>
      <w:r>
        <w:rPr>
          <w:sz w:val="20"/>
        </w:rPr>
        <w:t xml:space="preserve"> ФАС России от 05.07.2022 N 498/22)</w:t>
      </w:r>
    </w:p>
    <w:bookmarkStart w:id="213" w:name="P213"/>
    <w:bookmarkEnd w:id="213"/>
    <w:p>
      <w:pPr>
        <w:pStyle w:val="0"/>
        <w:spacing w:before="200" w:lineRule="auto"/>
        <w:ind w:firstLine="540"/>
        <w:jc w:val="both"/>
      </w:pPr>
      <w:r>
        <w:rPr>
          <w:sz w:val="20"/>
        </w:rPr>
        <w:t xml:space="preserve">29.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pPr>
        <w:pStyle w:val="0"/>
        <w:spacing w:before="200" w:lineRule="auto"/>
        <w:ind w:firstLine="540"/>
        <w:jc w:val="both"/>
      </w:pPr>
      <w:r>
        <w:rPr>
          <w:sz w:val="20"/>
        </w:rPr>
        <w:t xml:space="preserve">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pPr>
        <w:pStyle w:val="0"/>
        <w:spacing w:before="200" w:lineRule="auto"/>
        <w:ind w:firstLine="540"/>
        <w:jc w:val="both"/>
      </w:pPr>
      <w:r>
        <w:rPr>
          <w:sz w:val="20"/>
        </w:rP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81"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19, ст. 2438; 50, ст. 7070, ст. 7094; 2015, N 10, ст. 1529),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pPr>
        <w:pStyle w:val="0"/>
        <w:jc w:val="both"/>
      </w:pPr>
      <w:r>
        <w:rPr>
          <w:sz w:val="20"/>
        </w:rPr>
        <w:t xml:space="preserve">(абзац введен </w:t>
      </w:r>
      <w:hyperlink w:history="0" r:id="rId82" w:tooltip="Приказ ФСТ России от 27.05.2015 N 1080-Э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0.07.2015 N 37985) {КонсультантПлюс}">
        <w:r>
          <w:rPr>
            <w:sz w:val="20"/>
            <w:color w:val="0000ff"/>
          </w:rPr>
          <w:t xml:space="preserve">Приказом</w:t>
        </w:r>
      </w:hyperlink>
      <w:r>
        <w:rPr>
          <w:sz w:val="20"/>
        </w:rPr>
        <w:t xml:space="preserve"> ФСТ России от 27.05.2015 N 1080-Э)</w:t>
      </w:r>
    </w:p>
    <w:p>
      <w:pPr>
        <w:pStyle w:val="0"/>
        <w:spacing w:before="200" w:lineRule="auto"/>
        <w:ind w:firstLine="540"/>
        <w:jc w:val="both"/>
      </w:pPr>
      <w:r>
        <w:rPr>
          <w:sz w:val="20"/>
        </w:rPr>
        <w:t xml:space="preserve">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в установленном порядке до 31 декабря 2012 г.</w:t>
      </w:r>
    </w:p>
    <w:p>
      <w:pPr>
        <w:pStyle w:val="0"/>
        <w:spacing w:before="200" w:lineRule="auto"/>
        <w:ind w:firstLine="540"/>
        <w:jc w:val="both"/>
      </w:pPr>
      <w:r>
        <w:rPr>
          <w:sz w:val="20"/>
        </w:rPr>
        <w:t xml:space="preserve">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pPr>
        <w:pStyle w:val="0"/>
        <w:spacing w:before="200" w:lineRule="auto"/>
        <w:ind w:firstLine="540"/>
        <w:jc w:val="both"/>
      </w:pPr>
      <w:r>
        <w:rPr>
          <w:sz w:val="20"/>
        </w:rPr>
        <w:t xml:space="preserve">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договоре аренды.</w:t>
      </w:r>
    </w:p>
    <w:p>
      <w:pPr>
        <w:pStyle w:val="0"/>
        <w:jc w:val="both"/>
      </w:pPr>
      <w:r>
        <w:rPr>
          <w:sz w:val="20"/>
        </w:rPr>
        <w:t xml:space="preserve">(абзац введен </w:t>
      </w:r>
      <w:hyperlink w:history="0" r:id="rId83"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Приказом</w:t>
        </w:r>
      </w:hyperlink>
      <w:r>
        <w:rPr>
          <w:sz w:val="20"/>
        </w:rPr>
        <w:t xml:space="preserve"> ФАС России от 30.06.2017 N 868/17)</w:t>
      </w:r>
    </w:p>
    <w:p>
      <w:pPr>
        <w:pStyle w:val="0"/>
        <w:spacing w:before="200" w:lineRule="auto"/>
        <w:ind w:firstLine="540"/>
        <w:jc w:val="both"/>
      </w:pPr>
      <w:r>
        <w:rPr>
          <w:sz w:val="20"/>
        </w:rPr>
        <w:t xml:space="preserve">30. При определении размера расходов, связанных с уплатой налогов и сборов, учитываются:</w:t>
      </w:r>
    </w:p>
    <w:p>
      <w:pPr>
        <w:pStyle w:val="0"/>
        <w:spacing w:before="200" w:lineRule="auto"/>
        <w:ind w:firstLine="540"/>
        <w:jc w:val="both"/>
      </w:pPr>
      <w:r>
        <w:rPr>
          <w:sz w:val="20"/>
        </w:rPr>
        <w:t xml:space="preserve">налог на прибыль;</w:t>
      </w:r>
    </w:p>
    <w:p>
      <w:pPr>
        <w:pStyle w:val="0"/>
        <w:spacing w:before="200" w:lineRule="auto"/>
        <w:ind w:firstLine="540"/>
        <w:jc w:val="both"/>
      </w:pPr>
      <w:r>
        <w:rPr>
          <w:sz w:val="20"/>
        </w:rPr>
        <w:t xml:space="preserve">налог на имущество организаций;</w:t>
      </w:r>
    </w:p>
    <w:p>
      <w:pPr>
        <w:pStyle w:val="0"/>
        <w:spacing w:before="200" w:lineRule="auto"/>
        <w:ind w:firstLine="540"/>
        <w:jc w:val="both"/>
      </w:pPr>
      <w:r>
        <w:rPr>
          <w:sz w:val="20"/>
        </w:rPr>
        <w:t xml:space="preserve">земельный налог;</w:t>
      </w:r>
    </w:p>
    <w:p>
      <w:pPr>
        <w:pStyle w:val="0"/>
        <w:spacing w:before="200" w:lineRule="auto"/>
        <w:ind w:firstLine="540"/>
        <w:jc w:val="both"/>
      </w:pPr>
      <w:r>
        <w:rPr>
          <w:sz w:val="20"/>
        </w:rPr>
        <w:t xml:space="preserve">водный налог и плата за пользование водным объектом;</w:t>
      </w:r>
    </w:p>
    <w:p>
      <w:pPr>
        <w:pStyle w:val="0"/>
        <w:spacing w:before="200" w:lineRule="auto"/>
        <w:ind w:firstLine="540"/>
        <w:jc w:val="both"/>
      </w:pPr>
      <w:r>
        <w:rPr>
          <w:sz w:val="20"/>
        </w:rPr>
        <w:t xml:space="preserve">транспортный налог;</w:t>
      </w:r>
    </w:p>
    <w:p>
      <w:pPr>
        <w:pStyle w:val="0"/>
        <w:spacing w:before="200" w:lineRule="auto"/>
        <w:ind w:firstLine="540"/>
        <w:jc w:val="both"/>
      </w:pPr>
      <w:r>
        <w:rPr>
          <w:sz w:val="20"/>
        </w:rPr>
        <w:t xml:space="preserve">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pPr>
        <w:pStyle w:val="0"/>
        <w:spacing w:before="200" w:lineRule="auto"/>
        <w:ind w:firstLine="540"/>
        <w:jc w:val="both"/>
      </w:pPr>
      <w:r>
        <w:rPr>
          <w:sz w:val="20"/>
        </w:rPr>
        <w:t xml:space="preserve">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pPr>
        <w:pStyle w:val="0"/>
        <w:spacing w:before="200" w:lineRule="auto"/>
        <w:ind w:firstLine="540"/>
        <w:jc w:val="both"/>
      </w:pPr>
      <w:r>
        <w:rPr>
          <w:sz w:val="20"/>
        </w:rP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w:history="0" r:id="rId8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31. Учитываемая при определении необходимой валовой выручки нормативная прибыль включает в себя:</w:t>
      </w:r>
    </w:p>
    <w:p>
      <w:pPr>
        <w:pStyle w:val="0"/>
        <w:spacing w:before="200" w:lineRule="auto"/>
        <w:ind w:firstLine="540"/>
        <w:jc w:val="both"/>
      </w:pPr>
      <w:r>
        <w:rPr>
          <w:sz w:val="20"/>
        </w:rP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w:history="0" r:id="rId8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особенностей отнесения к расходам процентов по долговым обязательствам;</w:t>
      </w:r>
    </w:p>
    <w:p>
      <w:pPr>
        <w:pStyle w:val="0"/>
        <w:spacing w:before="200" w:lineRule="auto"/>
        <w:ind w:firstLine="540"/>
        <w:jc w:val="both"/>
      </w:pPr>
      <w:r>
        <w:rPr>
          <w:sz w:val="20"/>
        </w:rPr>
        <w:t xml:space="preserve">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bookmarkStart w:id="233" w:name="P233"/>
    <w:bookmarkEnd w:id="233"/>
    <w:p>
      <w:pPr>
        <w:pStyle w:val="0"/>
        <w:spacing w:before="200" w:lineRule="auto"/>
        <w:ind w:firstLine="540"/>
        <w:jc w:val="both"/>
      </w:pPr>
      <w:r>
        <w:rPr>
          <w:sz w:val="20"/>
        </w:rPr>
        <w:t xml:space="preserve">3) расходы на социальные нужды, предусмотренные коллективными договорами;</w:t>
      </w:r>
    </w:p>
    <w:p>
      <w:pPr>
        <w:pStyle w:val="0"/>
        <w:spacing w:before="200" w:lineRule="auto"/>
        <w:ind w:firstLine="540"/>
        <w:jc w:val="both"/>
      </w:pPr>
      <w:r>
        <w:rPr>
          <w:sz w:val="20"/>
        </w:rPr>
        <w:t xml:space="preserve">4) исключен. - </w:t>
      </w:r>
      <w:hyperlink w:history="0" r:id="rId86"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w:t>
        </w:r>
      </w:hyperlink>
      <w:r>
        <w:rPr>
          <w:sz w:val="20"/>
        </w:rPr>
        <w:t xml:space="preserve"> ФСТ России от 24.11.2014 N 2054-э.</w:t>
      </w:r>
    </w:p>
    <w:p>
      <w:pPr>
        <w:pStyle w:val="0"/>
        <w:spacing w:before="200" w:lineRule="auto"/>
        <w:ind w:firstLine="540"/>
        <w:jc w:val="both"/>
      </w:pPr>
      <w:r>
        <w:rPr>
          <w:sz w:val="20"/>
        </w:rPr>
        <w:t xml:space="preserve">32. Величина нормативной прибыли при расчете необходимой валовой выручки с применением метода экономически обоснованных расходов (затрат) не может превышать 7 процентов от суммы включаемых в необходимую валовую выручку расходов, указанных в </w:t>
      </w:r>
      <w:hyperlink w:history="0" w:anchor="P114" w:tooltip="1) производственных расходов;">
        <w:r>
          <w:rPr>
            <w:sz w:val="20"/>
            <w:color w:val="0000ff"/>
          </w:rPr>
          <w:t xml:space="preserve">подпунктах 1</w:t>
        </w:r>
      </w:hyperlink>
      <w:r>
        <w:rPr>
          <w:sz w:val="20"/>
        </w:rPr>
        <w:t xml:space="preserve"> - </w:t>
      </w:r>
      <w:hyperlink w:history="0" w:anchor="P121" w:tooltip="7) расходов, связанных с оплатой налогов и сборов;">
        <w:r>
          <w:rPr>
            <w:sz w:val="20"/>
            <w:color w:val="0000ff"/>
          </w:rPr>
          <w:t xml:space="preserve">7 пункта 15</w:t>
        </w:r>
      </w:hyperlink>
      <w:r>
        <w:rPr>
          <w:sz w:val="20"/>
        </w:rPr>
        <w:t xml:space="preserve"> настоящих Методических указаний.</w:t>
      </w:r>
    </w:p>
    <w:p>
      <w:pPr>
        <w:pStyle w:val="0"/>
        <w:spacing w:before="200" w:lineRule="auto"/>
        <w:ind w:firstLine="540"/>
        <w:jc w:val="both"/>
      </w:pPr>
      <w:r>
        <w:rPr>
          <w:sz w:val="20"/>
        </w:rPr>
        <w:t xml:space="preserve">32(1).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history="0" w:anchor="P114" w:tooltip="1) производственных расходов;">
        <w:r>
          <w:rPr>
            <w:sz w:val="20"/>
            <w:color w:val="0000ff"/>
          </w:rPr>
          <w:t xml:space="preserve">подпунктах 1</w:t>
        </w:r>
      </w:hyperlink>
      <w:r>
        <w:rPr>
          <w:sz w:val="20"/>
        </w:rPr>
        <w:t xml:space="preserve"> - </w:t>
      </w:r>
      <w:hyperlink w:history="0" w:anchor="P121" w:tooltip="7) расходов, связанных с оплатой налогов и сборов;">
        <w:r>
          <w:rPr>
            <w:sz w:val="20"/>
            <w:color w:val="0000ff"/>
          </w:rPr>
          <w:t xml:space="preserve">7 пункта 15</w:t>
        </w:r>
      </w:hyperlink>
      <w:r>
        <w:rPr>
          <w:sz w:val="20"/>
        </w:rPr>
        <w:t xml:space="preserve"> настоящих Методических указаний, с учетом особенностей, предусмотренных </w:t>
      </w:r>
      <w:hyperlink w:history="0" r:id="rId87"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пунктом 47(2)</w:t>
        </w:r>
      </w:hyperlink>
      <w:r>
        <w:rPr>
          <w:sz w:val="20"/>
        </w:rPr>
        <w:t xml:space="preserve"> Основ ценообразования.</w:t>
      </w:r>
    </w:p>
    <w:p>
      <w:pPr>
        <w:pStyle w:val="0"/>
        <w:jc w:val="both"/>
      </w:pPr>
      <w:r>
        <w:rPr>
          <w:sz w:val="20"/>
        </w:rPr>
        <w:t xml:space="preserve">(в ред. </w:t>
      </w:r>
      <w:hyperlink w:history="0" r:id="rId88" w:tooltip="Приказ ФАС России от 29.08.2017 N 1130/17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1.09.2017 N 48267) {КонсультантПлюс}">
        <w:r>
          <w:rPr>
            <w:sz w:val="20"/>
            <w:color w:val="0000ff"/>
          </w:rPr>
          <w:t xml:space="preserve">Приказа</w:t>
        </w:r>
      </w:hyperlink>
      <w:r>
        <w:rPr>
          <w:sz w:val="20"/>
        </w:rPr>
        <w:t xml:space="preserve"> ФАС России от 29.08.2017 N 1130/17)</w:t>
      </w:r>
    </w:p>
    <w:p>
      <w:pPr>
        <w:pStyle w:val="0"/>
        <w:spacing w:before="200" w:lineRule="auto"/>
        <w:ind w:firstLine="540"/>
        <w:jc w:val="both"/>
      </w:pPr>
      <w:r>
        <w:rPr>
          <w:sz w:val="20"/>
        </w:rPr>
        <w:t xml:space="preserve">Абзацы второй - третий утратили силу. - </w:t>
      </w:r>
      <w:hyperlink w:history="0" r:id="rId89" w:tooltip="Приказ ФАС России от 29.08.2017 N 1130/17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1.09.2017 N 48267) {КонсультантПлюс}">
        <w:r>
          <w:rPr>
            <w:sz w:val="20"/>
            <w:color w:val="0000ff"/>
          </w:rPr>
          <w:t xml:space="preserve">Приказ</w:t>
        </w:r>
      </w:hyperlink>
      <w:r>
        <w:rPr>
          <w:sz w:val="20"/>
        </w:rPr>
        <w:t xml:space="preserve"> ФАС России от 29.08.2017 N 1130/17.</w:t>
      </w:r>
    </w:p>
    <w:p>
      <w:pPr>
        <w:pStyle w:val="0"/>
        <w:jc w:val="both"/>
      </w:pPr>
      <w:r>
        <w:rPr>
          <w:sz w:val="20"/>
        </w:rPr>
        <w:t xml:space="preserve">(п. 32(1) введен </w:t>
      </w:r>
      <w:hyperlink w:history="0" r:id="rId90"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Приказом</w:t>
        </w:r>
      </w:hyperlink>
      <w:r>
        <w:rPr>
          <w:sz w:val="20"/>
        </w:rPr>
        <w:t xml:space="preserve"> ФСТ России от 24.11.2014 N 2054-э)</w:t>
      </w:r>
    </w:p>
    <w:bookmarkStart w:id="240" w:name="P240"/>
    <w:bookmarkEnd w:id="240"/>
    <w:p>
      <w:pPr>
        <w:pStyle w:val="0"/>
        <w:spacing w:before="200" w:lineRule="auto"/>
        <w:ind w:firstLine="540"/>
        <w:jc w:val="both"/>
      </w:pPr>
      <w:r>
        <w:rPr>
          <w:sz w:val="20"/>
        </w:rPr>
        <w:t xml:space="preserve">33.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и использует источники информации о ценах (тарифах) и расходах в соответствии с </w:t>
      </w:r>
      <w:hyperlink w:history="0" r:id="rId91"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пунктами 22</w:t>
        </w:r>
      </w:hyperlink>
      <w:r>
        <w:rPr>
          <w:sz w:val="20"/>
        </w:rPr>
        <w:t xml:space="preserve"> - </w:t>
      </w:r>
      <w:hyperlink w:history="0" r:id="rId92"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23</w:t>
        </w:r>
      </w:hyperlink>
      <w:r>
        <w:rPr>
          <w:sz w:val="20"/>
        </w:rPr>
        <w:t xml:space="preserve"> Основ ценообразования, </w:t>
      </w:r>
      <w:hyperlink w:history="0" w:anchor="P125" w:tooltip="16.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
        <w:r>
          <w:rPr>
            <w:sz w:val="20"/>
            <w:color w:val="0000ff"/>
          </w:rPr>
          <w:t xml:space="preserve">пунктом 16</w:t>
        </w:r>
      </w:hyperlink>
      <w:r>
        <w:rPr>
          <w:sz w:val="20"/>
        </w:rPr>
        <w:t xml:space="preserve"> настоящих Методических указаний.</w:t>
      </w:r>
    </w:p>
    <w:p>
      <w:pPr>
        <w:pStyle w:val="0"/>
        <w:jc w:val="both"/>
      </w:pPr>
      <w:r>
        <w:rPr>
          <w:sz w:val="20"/>
        </w:rPr>
      </w:r>
    </w:p>
    <w:bookmarkStart w:id="242" w:name="P242"/>
    <w:bookmarkEnd w:id="242"/>
    <w:p>
      <w:pPr>
        <w:pStyle w:val="2"/>
        <w:outlineLvl w:val="1"/>
        <w:jc w:val="center"/>
      </w:pPr>
      <w:r>
        <w:rPr>
          <w:sz w:val="20"/>
        </w:rPr>
        <w:t xml:space="preserve">V. Расчет необходимой валовой выручки методом</w:t>
      </w:r>
    </w:p>
    <w:p>
      <w:pPr>
        <w:pStyle w:val="2"/>
        <w:jc w:val="center"/>
      </w:pPr>
      <w:r>
        <w:rPr>
          <w:sz w:val="20"/>
        </w:rPr>
        <w:t xml:space="preserve">сравнения аналогов</w:t>
      </w:r>
    </w:p>
    <w:p>
      <w:pPr>
        <w:pStyle w:val="0"/>
        <w:jc w:val="center"/>
      </w:pPr>
      <w:r>
        <w:rPr>
          <w:sz w:val="20"/>
        </w:rPr>
      </w:r>
    </w:p>
    <w:p>
      <w:pPr>
        <w:pStyle w:val="0"/>
        <w:jc w:val="center"/>
      </w:pPr>
      <w:r>
        <w:rPr>
          <w:sz w:val="20"/>
        </w:rPr>
        <w:t xml:space="preserve">(в ред. </w:t>
      </w:r>
      <w:hyperlink w:history="0" r:id="rId93"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Приказа</w:t>
        </w:r>
      </w:hyperlink>
      <w:r>
        <w:rPr>
          <w:sz w:val="20"/>
        </w:rPr>
        <w:t xml:space="preserve"> ФАС России от 08.10.2020 N 976/20)</w:t>
      </w:r>
    </w:p>
    <w:p>
      <w:pPr>
        <w:pStyle w:val="0"/>
        <w:jc w:val="both"/>
      </w:pPr>
      <w:r>
        <w:rPr>
          <w:sz w:val="20"/>
        </w:rPr>
      </w:r>
    </w:p>
    <w:p>
      <w:pPr>
        <w:pStyle w:val="0"/>
        <w:ind w:firstLine="540"/>
        <w:jc w:val="both"/>
      </w:pPr>
      <w:r>
        <w:rPr>
          <w:sz w:val="20"/>
        </w:rPr>
        <w:t xml:space="preserve">34. Метод сравнения аналогов применяется в отношении регулируемой организации, осуществляющей транспортировку холодной воды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pPr>
        <w:pStyle w:val="0"/>
        <w:spacing w:before="200" w:lineRule="auto"/>
        <w:ind w:firstLine="540"/>
        <w:jc w:val="both"/>
      </w:pPr>
      <w:r>
        <w:rPr>
          <w:sz w:val="20"/>
        </w:rPr>
        <w:t xml:space="preserve">Метод сравнения аналогов применяется в отношении регулируемой организации, осуществляющей транспортировку сточных вод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pPr>
        <w:pStyle w:val="0"/>
        <w:spacing w:before="200" w:lineRule="auto"/>
        <w:ind w:firstLine="540"/>
        <w:jc w:val="both"/>
      </w:pPr>
      <w:r>
        <w:rPr>
          <w:sz w:val="20"/>
        </w:rPr>
        <w:t xml:space="preserve">35.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рассчитывается по формулам:</w:t>
      </w:r>
    </w:p>
    <w:p>
      <w:pPr>
        <w:pStyle w:val="0"/>
        <w:jc w:val="both"/>
      </w:pPr>
      <w:r>
        <w:rPr>
          <w:sz w:val="20"/>
        </w:rPr>
      </w:r>
    </w:p>
    <w:p>
      <w:pPr>
        <w:pStyle w:val="0"/>
        <w:jc w:val="center"/>
      </w:pPr>
      <w:r>
        <w:rPr>
          <w:position w:val="-8"/>
        </w:rPr>
        <w:drawing>
          <wp:inline distT="0" distB="0" distL="0" distR="0">
            <wp:extent cx="1838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38325" cy="238125"/>
                    </a:xfrm>
                    <a:prstGeom prst="rect">
                      <a:avLst/>
                    </a:prstGeom>
                    <a:noFill/>
                    <a:ln>
                      <a:noFill/>
                    </a:ln>
                  </pic:spPr>
                </pic:pic>
              </a:graphicData>
            </a:graphic>
          </wp:inline>
        </w:drawing>
      </w:r>
      <w:r>
        <w:rPr>
          <w:sz w:val="20"/>
        </w:rPr>
        <w:t xml:space="preserve"> (2)</w:t>
      </w:r>
    </w:p>
    <w:p>
      <w:pPr>
        <w:pStyle w:val="0"/>
        <w:jc w:val="both"/>
      </w:pPr>
      <w:r>
        <w:rPr>
          <w:sz w:val="20"/>
        </w:rPr>
      </w:r>
    </w:p>
    <w:p>
      <w:pPr>
        <w:pStyle w:val="0"/>
        <w:jc w:val="center"/>
      </w:pPr>
      <w:r>
        <w:rPr>
          <w:position w:val="-28"/>
        </w:rPr>
        <w:drawing>
          <wp:inline distT="0" distB="0" distL="0" distR="0">
            <wp:extent cx="27051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2705100" cy="485775"/>
                    </a:xfrm>
                    <a:prstGeom prst="rect">
                      <a:avLst/>
                    </a:prstGeom>
                    <a:noFill/>
                    <a:ln>
                      <a:noFill/>
                    </a:ln>
                  </pic:spPr>
                </pic:pic>
              </a:graphicData>
            </a:graphic>
          </wp:inline>
        </w:drawing>
      </w:r>
      <w:r>
        <w:rPr>
          <w:sz w:val="20"/>
        </w:rPr>
        <w:t xml:space="preserve"> (2.1)</w:t>
      </w:r>
    </w:p>
    <w:p>
      <w:pPr>
        <w:pStyle w:val="0"/>
        <w:jc w:val="both"/>
      </w:pPr>
      <w:r>
        <w:rPr>
          <w:sz w:val="20"/>
        </w:rPr>
      </w:r>
    </w:p>
    <w:bookmarkStart w:id="255" w:name="P255"/>
    <w:bookmarkEnd w:id="255"/>
    <w:p>
      <w:pPr>
        <w:pStyle w:val="0"/>
        <w:jc w:val="center"/>
      </w:pPr>
      <w:r>
        <w:rPr>
          <w:position w:val="-11"/>
        </w:rPr>
        <w:drawing>
          <wp:inline distT="0" distB="0" distL="0" distR="0">
            <wp:extent cx="20478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2047875" cy="276225"/>
                    </a:xfrm>
                    <a:prstGeom prst="rect">
                      <a:avLst/>
                    </a:prstGeom>
                    <a:noFill/>
                    <a:ln>
                      <a:noFill/>
                    </a:ln>
                  </pic:spPr>
                </pic:pic>
              </a:graphicData>
            </a:graphic>
          </wp:inline>
        </w:drawing>
      </w:r>
      <w:r>
        <w:rPr>
          <w:sz w:val="20"/>
        </w:rPr>
        <w:t xml:space="preserve"> (2.2)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 необходимая валовая выручка, установленная на год i в отношении n-ной регулируемой организации, тыс. руб.;</w:t>
      </w:r>
    </w:p>
    <w:p>
      <w:pPr>
        <w:pStyle w:val="0"/>
        <w:spacing w:before="200" w:lineRule="auto"/>
        <w:ind w:firstLine="540"/>
        <w:jc w:val="both"/>
      </w:pPr>
      <w:r>
        <w:rPr>
          <w:sz w:val="20"/>
        </w:rPr>
        <w:t xml:space="preserve">УТРi - удельные текущие расходы гарантирующей организации в расчете на километр протяженности водопроводной (канализационной) сети, определенной в сопоставимых величинах по </w:t>
      </w:r>
      <w:hyperlink w:history="0" w:anchor="P274" w:tooltip=" (3)">
        <w:r>
          <w:rPr>
            <w:sz w:val="20"/>
            <w:color w:val="0000ff"/>
          </w:rPr>
          <w:t xml:space="preserve">формуле (3)</w:t>
        </w:r>
      </w:hyperlink>
      <w:r>
        <w:rPr>
          <w:sz w:val="20"/>
        </w:rPr>
        <w:t xml:space="preserve"> настоящих Методических указаний, планируемые на год i, тыс. руб./усл. км;</w:t>
      </w:r>
    </w:p>
    <w:p>
      <w:pPr>
        <w:pStyle w:val="0"/>
        <w:spacing w:before="200" w:lineRule="auto"/>
        <w:ind w:firstLine="54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 протяженность водопроводной (канализационной) сети n-ной регулируемой организации, используемой для транспортировки холодной воды (сточных вод) абонентам гарантирующей организации, определенная в сопоставимых величинах по </w:t>
      </w:r>
      <w:hyperlink w:history="0" w:anchor="P274" w:tooltip=" (3)">
        <w:r>
          <w:rPr>
            <w:sz w:val="20"/>
            <w:color w:val="0000ff"/>
          </w:rPr>
          <w:t xml:space="preserve">формуле (3)</w:t>
        </w:r>
      </w:hyperlink>
      <w:r>
        <w:rPr>
          <w:sz w:val="20"/>
        </w:rPr>
        <w:t xml:space="preserve"> настоящих Методических указаний, на год i, усл. км;</w:t>
      </w:r>
    </w:p>
    <w:p>
      <w:pPr>
        <w:pStyle w:val="0"/>
        <w:spacing w:before="200" w:lineRule="auto"/>
        <w:ind w:firstLine="540"/>
        <w:jc w:val="both"/>
      </w:pPr>
      <w:r>
        <w:rPr>
          <w:position w:val="-8"/>
        </w:rPr>
        <w:drawing>
          <wp:inline distT="0" distB="0" distL="0" distR="0">
            <wp:extent cx="4286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Pr>
          <w:sz w:val="20"/>
        </w:rPr>
        <w:t xml:space="preserve"> - нормативный уровень расходов на амортизацию основных средств и нематериальных активов, относимых к объектам централизованной (централизованных) системы (систем) водоснабжения и (или) водоотведения, используемым для транспортировки воды (сточных вод), в расчете на километр протяженности водопроводной (канализационной) сети, определенной в сопоставимых величинах, установленный на год i в отношении n-ной регулируемой организации, тыс. руб./усл. км;</w:t>
      </w:r>
    </w:p>
    <w:p>
      <w:pPr>
        <w:pStyle w:val="0"/>
        <w:spacing w:before="200" w:lineRule="auto"/>
        <w:ind w:firstLine="540"/>
        <w:jc w:val="both"/>
      </w:pPr>
      <w:r>
        <w:rPr>
          <w:position w:val="-8"/>
        </w:rPr>
        <w:drawing>
          <wp:inline distT="0" distB="0" distL="0" distR="0">
            <wp:extent cx="2190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sz w:val="20"/>
        </w:rPr>
        <w:t xml:space="preserve"> - величина расходов n-ной регулируемой организации на амортизацию основных средств и нематериальных активов, относимых к объектам централизованной системы водоснабжения и (или) водоотведения, используемым для транспортировки воды (сточных вод), определенная в соответствии с </w:t>
      </w:r>
      <w:hyperlink w:history="0" w:anchor="P207" w:tooltip="28.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28</w:t>
        </w:r>
      </w:hyperlink>
      <w:r>
        <w:rPr>
          <w:sz w:val="20"/>
        </w:rPr>
        <w:t xml:space="preserve"> настоящих Методических указаний, в расчете на километр протяженности водопроводной (канализационной) сети, определенной в сопоставимых величинах, в году i, тыс. руб./усл. км;</w:t>
      </w:r>
    </w:p>
    <w:p>
      <w:pPr>
        <w:pStyle w:val="0"/>
        <w:spacing w:before="200" w:lineRule="auto"/>
        <w:ind w:firstLine="540"/>
        <w:jc w:val="both"/>
      </w:pPr>
      <w:r>
        <w:rPr>
          <w:position w:val="-10"/>
        </w:rPr>
        <w:drawing>
          <wp:inline distT="0" distB="0" distL="0" distR="0">
            <wp:extent cx="4286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Pr>
          <w:sz w:val="20"/>
        </w:rPr>
        <w:t xml:space="preserve"> - текущие расходы гарантирующей организации, отнесенные на вид деятельности по транспортировке холодной воды (сточных вод) или на технологический процесс транспортировки холодной воды (сточных вод) в составе деятельности по водоснабжению (водоотведению), в году (i-2). В текущих расходах гарантирующей организации не учитываются расходы на электрическую энергию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воды и (или) транспортировки сточных вод, тыс. руб.;</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протяженность водопроводной (канализационной) сети гарантирующей организации, используемой для транспортировки холодной воды (сточных вод), определенная в сопоставимых величинах по </w:t>
      </w:r>
      <w:hyperlink w:history="0" w:anchor="P274" w:tooltip=" (3)">
        <w:r>
          <w:rPr>
            <w:sz w:val="20"/>
            <w:color w:val="0000ff"/>
          </w:rPr>
          <w:t xml:space="preserve">формуле (3)</w:t>
        </w:r>
      </w:hyperlink>
      <w:r>
        <w:rPr>
          <w:sz w:val="20"/>
        </w:rPr>
        <w:t xml:space="preserve"> настоящих Методических указаний, в году (i-2), усл. км.</w:t>
      </w:r>
    </w:p>
    <w:p>
      <w:pPr>
        <w:pStyle w:val="0"/>
        <w:spacing w:before="200" w:lineRule="auto"/>
        <w:ind w:firstLine="540"/>
        <w:jc w:val="both"/>
      </w:pPr>
      <w:r>
        <w:rPr>
          <w:sz w:val="20"/>
        </w:rPr>
        <w:t xml:space="preserve">36. Нормативный уровень расходов на амортизацию основных средств и нематериальных активов, относимых к объектам централизованной системы (централизованных систем) водоснабжения и (или) водоотведения, используемым для транспортировки воды (сточных вод), определяется органом регулирования тарифов в соответствии с </w:t>
      </w:r>
      <w:hyperlink w:history="0" w:anchor="P255" w:tooltip=" (2.2)">
        <w:r>
          <w:rPr>
            <w:sz w:val="20"/>
            <w:color w:val="0000ff"/>
          </w:rPr>
          <w:t xml:space="preserve">формулой (2.2)</w:t>
        </w:r>
      </w:hyperlink>
      <w:r>
        <w:rPr>
          <w:sz w:val="20"/>
        </w:rPr>
        <w:t xml:space="preserve"> исходя из величины расходов регулируемой организации на амортизацию основных средств и нематериальных активов, определенной в соответствии с </w:t>
      </w:r>
      <w:hyperlink w:history="0" w:anchor="P207" w:tooltip="28.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28</w:t>
        </w:r>
      </w:hyperlink>
      <w:r>
        <w:rPr>
          <w:sz w:val="20"/>
        </w:rPr>
        <w:t xml:space="preserve"> настоящих Методических указаний, в расчете на километр протяженности водопроводной (канализационной) сети, определенной в сопоставимых величинах, в размере, не превышающем 15 процентов удельных текущих расходов гарантирующей организации.</w:t>
      </w:r>
    </w:p>
    <w:p>
      <w:pPr>
        <w:pStyle w:val="0"/>
        <w:spacing w:before="200" w:lineRule="auto"/>
        <w:ind w:firstLine="540"/>
        <w:jc w:val="both"/>
      </w:pPr>
      <w:r>
        <w:rPr>
          <w:sz w:val="20"/>
        </w:rPr>
        <w:t xml:space="preserve">37. Текущие расходы гарантирующей организации на транспортировку воды (сточных вод) по соответствующей централизованной системе водоснабжения и (или) водоотведения определяются с учетом положений </w:t>
      </w:r>
      <w:hyperlink w:history="0" w:anchor="P334" w:tooltip="VI.I. Расчет текущих расходов">
        <w:r>
          <w:rPr>
            <w:sz w:val="20"/>
            <w:color w:val="0000ff"/>
          </w:rPr>
          <w:t xml:space="preserve">главы VI.I</w:t>
        </w:r>
      </w:hyperlink>
      <w:r>
        <w:rPr>
          <w:sz w:val="20"/>
        </w:rPr>
        <w:t xml:space="preserve"> настоящих Методических указаний. При этом для расчета тарифов регулируемых организаций методом сравнения аналогов в составе таких расходов не учитываются:</w:t>
      </w:r>
    </w:p>
    <w:p>
      <w:pPr>
        <w:pStyle w:val="0"/>
        <w:spacing w:before="200" w:lineRule="auto"/>
        <w:ind w:firstLine="540"/>
        <w:jc w:val="both"/>
      </w:pPr>
      <w:r>
        <w:rPr>
          <w:sz w:val="20"/>
        </w:rPr>
        <w:t xml:space="preserve">доходы и расходы гарантирующей организации, возникшие в связи с применением штрафных санкций, выплатой компенсаций и корректировкой тарифов в связи с исполнением (неисполнением) установленных значений показателей надежности, качества, энергетической эффективности объектов централизованных систем холодного водоснабжения и (или) водоотведения гарантирующей организации;</w:t>
      </w:r>
    </w:p>
    <w:p>
      <w:pPr>
        <w:pStyle w:val="0"/>
        <w:spacing w:before="200" w:lineRule="auto"/>
        <w:ind w:firstLine="540"/>
        <w:jc w:val="both"/>
      </w:pPr>
      <w:r>
        <w:rPr>
          <w:sz w:val="20"/>
        </w:rPr>
        <w:t xml:space="preserve">расходы на плату за негативное воздействие на окружающую среду;</w:t>
      </w:r>
    </w:p>
    <w:p>
      <w:pPr>
        <w:pStyle w:val="0"/>
        <w:spacing w:before="200" w:lineRule="auto"/>
        <w:ind w:firstLine="540"/>
        <w:jc w:val="both"/>
      </w:pPr>
      <w:r>
        <w:rPr>
          <w:sz w:val="20"/>
        </w:rPr>
        <w:t xml:space="preserve">расходы, предусмотренные </w:t>
      </w:r>
      <w:hyperlink w:history="0" w:anchor="P351" w:tooltip="4) сбытовые расходы.">
        <w:r>
          <w:rPr>
            <w:sz w:val="20"/>
            <w:color w:val="0000ff"/>
          </w:rPr>
          <w:t xml:space="preserve">подпунктом 4 пункта 44</w:t>
        </w:r>
      </w:hyperlink>
      <w:r>
        <w:rPr>
          <w:sz w:val="20"/>
        </w:rPr>
        <w:t xml:space="preserve"> и </w:t>
      </w:r>
      <w:hyperlink w:history="0" w:anchor="P390" w:tooltip="3) расходы на арендную плату и лизинговые платежи, размер которых определяется с учетом требований, предусмотренных пунктом 29 настоящих Методических указаний;">
        <w:r>
          <w:rPr>
            <w:sz w:val="20"/>
            <w:color w:val="0000ff"/>
          </w:rPr>
          <w:t xml:space="preserve">подпунктами 3</w:t>
        </w:r>
      </w:hyperlink>
      <w:r>
        <w:rPr>
          <w:sz w:val="20"/>
        </w:rPr>
        <w:t xml:space="preserve"> - </w:t>
      </w:r>
      <w:hyperlink w:history="0" w:anchor="P393" w:tooltip="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настоящих Методических указаний;">
        <w:r>
          <w:rPr>
            <w:sz w:val="20"/>
            <w:color w:val="0000ff"/>
          </w:rPr>
          <w:t xml:space="preserve">5</w:t>
        </w:r>
      </w:hyperlink>
      <w:r>
        <w:rPr>
          <w:sz w:val="20"/>
        </w:rPr>
        <w:t xml:space="preserve">, </w:t>
      </w:r>
      <w:hyperlink w:history="0" w:anchor="P395" w:tooltip="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
        <w:r>
          <w:rPr>
            <w:sz w:val="20"/>
            <w:color w:val="0000ff"/>
          </w:rPr>
          <w:t xml:space="preserve">7</w:t>
        </w:r>
      </w:hyperlink>
      <w:r>
        <w:rPr>
          <w:sz w:val="20"/>
        </w:rPr>
        <w:t xml:space="preserve"> - </w:t>
      </w:r>
      <w:hyperlink w:history="0" w:anchor="P400" w:tooltip="10) расходы на реагенты.">
        <w:r>
          <w:rPr>
            <w:sz w:val="20"/>
            <w:color w:val="0000ff"/>
          </w:rPr>
          <w:t xml:space="preserve">10 пункта 49</w:t>
        </w:r>
      </w:hyperlink>
      <w:r>
        <w:rPr>
          <w:sz w:val="20"/>
        </w:rPr>
        <w:t xml:space="preserve"> настоящих Методических указаний, за исключением арендной платы за землю;</w:t>
      </w:r>
    </w:p>
    <w:p>
      <w:pPr>
        <w:pStyle w:val="0"/>
        <w:spacing w:before="200" w:lineRule="auto"/>
        <w:ind w:firstLine="540"/>
        <w:jc w:val="both"/>
      </w:pPr>
      <w:r>
        <w:rPr>
          <w:sz w:val="20"/>
        </w:rPr>
        <w:t xml:space="preserve">расходы на содержание резервуаров для воды, водопроводных насосных станций, напорных канализационных трубопроводов, канализационных насосных станций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w:t>
      </w:r>
    </w:p>
    <w:p>
      <w:pPr>
        <w:pStyle w:val="0"/>
        <w:spacing w:before="200" w:lineRule="auto"/>
        <w:ind w:firstLine="540"/>
        <w:jc w:val="both"/>
      </w:pPr>
      <w:r>
        <w:rPr>
          <w:sz w:val="20"/>
        </w:rPr>
        <w:t xml:space="preserve">расходы на оплату услуг других регулируемых организаций в сфере водоснабжения и водоотведения.</w:t>
      </w:r>
    </w:p>
    <w:p>
      <w:pPr>
        <w:pStyle w:val="0"/>
        <w:spacing w:before="200" w:lineRule="auto"/>
        <w:ind w:firstLine="540"/>
        <w:jc w:val="both"/>
      </w:pPr>
      <w:r>
        <w:rPr>
          <w:sz w:val="20"/>
        </w:rPr>
        <w:t xml:space="preserve">38. 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pPr>
        <w:pStyle w:val="0"/>
        <w:jc w:val="both"/>
      </w:pPr>
      <w:r>
        <w:rPr>
          <w:sz w:val="20"/>
        </w:rPr>
      </w:r>
    </w:p>
    <w:bookmarkStart w:id="274" w:name="P274"/>
    <w:bookmarkEnd w:id="274"/>
    <w:p>
      <w:pPr>
        <w:pStyle w:val="0"/>
        <w:jc w:val="center"/>
      </w:pPr>
      <w:r>
        <w:rPr>
          <w:position w:val="-17"/>
        </w:rPr>
        <w:drawing>
          <wp:inline distT="0" distB="0" distL="0" distR="0">
            <wp:extent cx="9906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r>
        <w:rPr>
          <w:sz w:val="20"/>
        </w:rPr>
        <w:t xml:space="preserve"> (3)</w:t>
      </w:r>
    </w:p>
    <w:p>
      <w:pPr>
        <w:pStyle w:val="0"/>
        <w:jc w:val="both"/>
      </w:pPr>
      <w:r>
        <w:rPr>
          <w:sz w:val="20"/>
        </w:rPr>
      </w:r>
    </w:p>
    <w:p>
      <w:pPr>
        <w:pStyle w:val="0"/>
        <w:jc w:val="center"/>
      </w:pPr>
      <w:r>
        <w:rPr>
          <w:position w:val="-23"/>
        </w:rPr>
        <w:drawing>
          <wp:inline distT="0" distB="0" distL="0" distR="0">
            <wp:extent cx="6477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r>
        <w:rPr>
          <w:sz w:val="20"/>
        </w:rPr>
        <w:t xml:space="preserve"> (3.1)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i</w:t>
      </w:r>
      <w:r>
        <w:rPr>
          <w:sz w:val="20"/>
        </w:rPr>
        <w:t xml:space="preserve"> - протяженность в километрах трубопроводов организации i в сопоставимых величинах, усл. км;</w:t>
      </w:r>
    </w:p>
    <w:p>
      <w:pPr>
        <w:pStyle w:val="0"/>
        <w:spacing w:before="200" w:lineRule="auto"/>
        <w:ind w:firstLine="540"/>
        <w:jc w:val="both"/>
      </w:pPr>
      <w:r>
        <w:rPr>
          <w:sz w:val="20"/>
        </w:rPr>
        <w:t xml:space="preserve">L</w:t>
      </w:r>
      <w:r>
        <w:rPr>
          <w:sz w:val="20"/>
          <w:vertAlign w:val="subscript"/>
        </w:rPr>
        <w:t xml:space="preserve">d,i</w:t>
      </w:r>
      <w:r>
        <w:rPr>
          <w:sz w:val="20"/>
        </w:rPr>
        <w:t xml:space="preserve"> - протяженность в километрах трубопроводов диаметра d организации i, км;</w:t>
      </w:r>
    </w:p>
    <w:p>
      <w:pPr>
        <w:pStyle w:val="0"/>
        <w:spacing w:before="200" w:lineRule="auto"/>
        <w:ind w:firstLine="540"/>
        <w:jc w:val="both"/>
      </w:pPr>
      <w:r>
        <w:rPr>
          <w:sz w:val="20"/>
        </w:rPr>
        <w:t xml:space="preserve">k</w:t>
      </w:r>
      <w:r>
        <w:rPr>
          <w:sz w:val="20"/>
          <w:vertAlign w:val="subscript"/>
        </w:rPr>
        <w:t xml:space="preserve">d</w:t>
      </w:r>
      <w:r>
        <w:rPr>
          <w:sz w:val="20"/>
        </w:rPr>
        <w:t xml:space="preserve"> - коэффициент дифференциации стоимости строительства сетей в зависимости от их диаметра d;</w:t>
      </w:r>
    </w:p>
    <w:p>
      <w:pPr>
        <w:pStyle w:val="0"/>
        <w:spacing w:before="200" w:lineRule="auto"/>
        <w:ind w:firstLine="540"/>
        <w:jc w:val="both"/>
      </w:pPr>
      <w:r>
        <w:rPr>
          <w:sz w:val="20"/>
        </w:rPr>
        <w:t xml:space="preserve">S</w:t>
      </w:r>
      <w:r>
        <w:rPr>
          <w:sz w:val="20"/>
          <w:vertAlign w:val="subscript"/>
        </w:rPr>
        <w:t xml:space="preserve">d</w:t>
      </w:r>
      <w:r>
        <w:rPr>
          <w:sz w:val="20"/>
        </w:rPr>
        <w:t xml:space="preserve"> - средняя стоимость строительства трубопровода диаметра d, тыс. руб./км;</w:t>
      </w:r>
    </w:p>
    <w:p>
      <w:pPr>
        <w:pStyle w:val="0"/>
        <w:spacing w:before="200" w:lineRule="auto"/>
        <w:ind w:firstLine="540"/>
        <w:jc w:val="both"/>
      </w:pPr>
      <w:r>
        <w:rPr>
          <w:sz w:val="20"/>
        </w:rPr>
        <w:t xml:space="preserve">S</w:t>
      </w:r>
      <w:r>
        <w:rPr>
          <w:sz w:val="20"/>
          <w:vertAlign w:val="subscript"/>
        </w:rPr>
        <w:t xml:space="preserve">500</w:t>
      </w:r>
      <w:r>
        <w:rPr>
          <w:sz w:val="20"/>
        </w:rPr>
        <w:t xml:space="preserve"> - средняя стоимость строительства трубопровода диаметра 500 мм, тыс. руб./км.</w:t>
      </w:r>
    </w:p>
    <w:p>
      <w:pPr>
        <w:pStyle w:val="0"/>
        <w:spacing w:before="200" w:lineRule="auto"/>
        <w:ind w:firstLine="540"/>
        <w:jc w:val="both"/>
      </w:pPr>
      <w:r>
        <w:rPr>
          <w:sz w:val="20"/>
        </w:rPr>
        <w:t xml:space="preserve">Средняя стоимость строительства трубопроводов определяется с использованием проектной документации и не должна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pPr>
        <w:pStyle w:val="0"/>
        <w:spacing w:before="200" w:lineRule="auto"/>
        <w:ind w:firstLine="540"/>
        <w:jc w:val="both"/>
      </w:pPr>
      <w:r>
        <w:rPr>
          <w:sz w:val="20"/>
        </w:rPr>
        <w:t xml:space="preserve">Протяженность водопроводной (канализационной) сети регулируемой организации, определенная в сопоставимых величинах, определяется на основании коэффициентов дифференциации стоимости строительства гарантирующей организации. Гарантирующие организации представляют в органы регулирования тарифов информацию согласно </w:t>
      </w:r>
      <w:hyperlink w:history="0" w:anchor="P6486" w:tooltip="Протяженность водопроводной (канализационной) сети,">
        <w:r>
          <w:rPr>
            <w:sz w:val="20"/>
            <w:color w:val="0000ff"/>
          </w:rPr>
          <w:t xml:space="preserve">Приложению 5.1</w:t>
        </w:r>
      </w:hyperlink>
      <w:r>
        <w:rPr>
          <w:sz w:val="20"/>
        </w:rPr>
        <w:t xml:space="preserve"> к настоящим Методическим указаниям в отношении коэффициентов дифференциации стоимости строительства и протяженности водопроводной (канализационной) сети, определенной в сопоставимых величинах. Регулируемые организации, осуществляющие транспортировку холодной воды, транспортировку сточных вод в зоне деятельности гарантирующей организации, представляют в органы регулирования тарифов информацию согласно </w:t>
      </w:r>
      <w:hyperlink w:history="0" w:anchor="P6557" w:tooltip="Протяженность водопроводной (канализационной) сети">
        <w:r>
          <w:rPr>
            <w:sz w:val="20"/>
            <w:color w:val="0000ff"/>
          </w:rPr>
          <w:t xml:space="preserve">Приложению 5.2</w:t>
        </w:r>
      </w:hyperlink>
      <w:r>
        <w:rPr>
          <w:sz w:val="20"/>
        </w:rPr>
        <w:t xml:space="preserve"> к настоящим Методическим указаниям.</w:t>
      </w:r>
    </w:p>
    <w:p>
      <w:pPr>
        <w:pStyle w:val="0"/>
        <w:jc w:val="both"/>
      </w:pPr>
      <w:r>
        <w:rPr>
          <w:sz w:val="20"/>
        </w:rPr>
      </w:r>
    </w:p>
    <w:p>
      <w:pPr>
        <w:pStyle w:val="2"/>
        <w:outlineLvl w:val="1"/>
        <w:jc w:val="center"/>
      </w:pPr>
      <w:r>
        <w:rPr>
          <w:sz w:val="20"/>
        </w:rPr>
        <w:t xml:space="preserve">VI. Расчет необходимой валовой выручки методом доходности</w:t>
      </w:r>
    </w:p>
    <w:p>
      <w:pPr>
        <w:pStyle w:val="2"/>
        <w:jc w:val="center"/>
      </w:pPr>
      <w:r>
        <w:rPr>
          <w:sz w:val="20"/>
        </w:rPr>
        <w:t xml:space="preserve">инвестированного капитала</w:t>
      </w:r>
    </w:p>
    <w:p>
      <w:pPr>
        <w:pStyle w:val="0"/>
        <w:jc w:val="both"/>
      </w:pPr>
      <w:r>
        <w:rPr>
          <w:sz w:val="20"/>
        </w:rPr>
      </w:r>
    </w:p>
    <w:p>
      <w:pPr>
        <w:pStyle w:val="0"/>
        <w:ind w:firstLine="540"/>
        <w:jc w:val="both"/>
      </w:pPr>
      <w:r>
        <w:rPr>
          <w:sz w:val="20"/>
        </w:rPr>
        <w:t xml:space="preserve">39. Необходимая валовая выручка на очередной год долгосрочного периода регулирования рассчитывается на основе долгосрочных параметров регулирования тарифов и параметров расчета тарифов, установленных на этот год. При определении параметров расчета тарифов используются фактические значения таких параметров за истекшие периоды регулирования. Необходимая валовая выручка на очередной год корректируется с учетом отклонения фактических параметров расчета тарифов от значений, учтенных при расчете необходимой валовой выручки.</w:t>
      </w:r>
    </w:p>
    <w:p>
      <w:pPr>
        <w:pStyle w:val="0"/>
        <w:spacing w:before="200" w:lineRule="auto"/>
        <w:ind w:firstLine="540"/>
        <w:jc w:val="both"/>
      </w:pPr>
      <w:r>
        <w:rPr>
          <w:sz w:val="20"/>
        </w:rPr>
        <w:t xml:space="preserve">40. К долгосрочным параметрам регулирования тарифов относятся:</w:t>
      </w:r>
    </w:p>
    <w:p>
      <w:pPr>
        <w:pStyle w:val="0"/>
        <w:spacing w:before="200" w:lineRule="auto"/>
        <w:ind w:firstLine="540"/>
        <w:jc w:val="both"/>
      </w:pPr>
      <w:r>
        <w:rPr>
          <w:sz w:val="20"/>
        </w:rPr>
        <w:t xml:space="preserve">1) базовый уровень операционных расходов;</w:t>
      </w:r>
    </w:p>
    <w:p>
      <w:pPr>
        <w:pStyle w:val="0"/>
        <w:spacing w:before="200" w:lineRule="auto"/>
        <w:ind w:firstLine="540"/>
        <w:jc w:val="both"/>
      </w:pPr>
      <w:r>
        <w:rPr>
          <w:sz w:val="20"/>
        </w:rPr>
        <w:t xml:space="preserve">2) индекс эффективности операционных расходов;</w:t>
      </w:r>
    </w:p>
    <w:p>
      <w:pPr>
        <w:pStyle w:val="0"/>
        <w:spacing w:before="200" w:lineRule="auto"/>
        <w:ind w:firstLine="540"/>
        <w:jc w:val="both"/>
      </w:pPr>
      <w:r>
        <w:rPr>
          <w:sz w:val="20"/>
        </w:rPr>
        <w:t xml:space="preserve">3) норматив чистого оборотного капитала;</w:t>
      </w:r>
    </w:p>
    <w:p>
      <w:pPr>
        <w:pStyle w:val="0"/>
        <w:spacing w:before="200" w:lineRule="auto"/>
        <w:ind w:firstLine="540"/>
        <w:jc w:val="both"/>
      </w:pPr>
      <w:r>
        <w:rPr>
          <w:sz w:val="20"/>
        </w:rPr>
        <w:t xml:space="preserve">4) норма доходности инвестированного капитала;</w:t>
      </w:r>
    </w:p>
    <w:p>
      <w:pPr>
        <w:pStyle w:val="0"/>
        <w:spacing w:before="200" w:lineRule="auto"/>
        <w:ind w:firstLine="540"/>
        <w:jc w:val="both"/>
      </w:pPr>
      <w:r>
        <w:rPr>
          <w:sz w:val="20"/>
        </w:rPr>
        <w:t xml:space="preserve">5) срок возврата инвестированного капитала;</w:t>
      </w:r>
    </w:p>
    <w:p>
      <w:pPr>
        <w:pStyle w:val="0"/>
        <w:spacing w:before="200" w:lineRule="auto"/>
        <w:ind w:firstLine="540"/>
        <w:jc w:val="both"/>
      </w:pPr>
      <w:r>
        <w:rPr>
          <w:sz w:val="20"/>
        </w:rPr>
        <w:t xml:space="preserve">6) первоначальный размер инвестированного капитала;</w:t>
      </w:r>
    </w:p>
    <w:p>
      <w:pPr>
        <w:pStyle w:val="0"/>
        <w:spacing w:before="200" w:lineRule="auto"/>
        <w:ind w:firstLine="540"/>
        <w:jc w:val="both"/>
      </w:pPr>
      <w:r>
        <w:rPr>
          <w:sz w:val="20"/>
        </w:rPr>
        <w:t xml:space="preserve">7) показатели энергосбережения и энергетической эффективности (уровень потерь воды, удельный расход электрической энергии);</w:t>
      </w:r>
    </w:p>
    <w:p>
      <w:pPr>
        <w:pStyle w:val="0"/>
        <w:jc w:val="both"/>
      </w:pPr>
      <w:r>
        <w:rPr>
          <w:sz w:val="20"/>
        </w:rPr>
        <w:t xml:space="preserve">(пп. 7 в ред. </w:t>
      </w:r>
      <w:hyperlink w:history="0" r:id="rId105"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p>
      <w:pPr>
        <w:pStyle w:val="0"/>
        <w:spacing w:before="200" w:lineRule="auto"/>
        <w:ind w:firstLine="540"/>
        <w:jc w:val="both"/>
      </w:pPr>
      <w:r>
        <w:rPr>
          <w:sz w:val="20"/>
        </w:rPr>
        <w:t xml:space="preserve">8) исключен. - </w:t>
      </w:r>
      <w:hyperlink w:history="0" r:id="rId106"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w:t>
        </w:r>
      </w:hyperlink>
      <w:r>
        <w:rPr>
          <w:sz w:val="20"/>
        </w:rPr>
        <w:t xml:space="preserve"> ФСТ России от 24.11.2014 N 2054-э.</w:t>
      </w:r>
    </w:p>
    <w:p>
      <w:pPr>
        <w:pStyle w:val="0"/>
        <w:spacing w:before="200" w:lineRule="auto"/>
        <w:ind w:firstLine="540"/>
        <w:jc w:val="both"/>
      </w:pPr>
      <w:r>
        <w:rPr>
          <w:sz w:val="20"/>
        </w:rPr>
        <w:t xml:space="preserve">41. К параметрам расчета тарифов относятся:</w:t>
      </w:r>
    </w:p>
    <w:p>
      <w:pPr>
        <w:pStyle w:val="0"/>
        <w:spacing w:before="200" w:lineRule="auto"/>
        <w:ind w:firstLine="540"/>
        <w:jc w:val="both"/>
      </w:pPr>
      <w:r>
        <w:rPr>
          <w:sz w:val="20"/>
        </w:rPr>
        <w:t xml:space="preserve">1)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(далее - индекс потребительских цен). В случае если срок долгосрочного периода регулирования тарифов превышает срок, на который установлен индекс потребительских цен, применяется индекс потребительских цен, установленный в прогнозе социально-экономического развития на последний год его действия;</w:t>
      </w:r>
    </w:p>
    <w:p>
      <w:pPr>
        <w:pStyle w:val="0"/>
        <w:spacing w:before="200" w:lineRule="auto"/>
        <w:ind w:firstLine="540"/>
        <w:jc w:val="both"/>
      </w:pPr>
      <w:r>
        <w:rPr>
          <w:sz w:val="20"/>
        </w:rPr>
        <w:t xml:space="preserve">2) стоимость покупки единицы энергетических ресурсов, в том числе электрической энергии (мощности), тепловой энергии и теплоносителя, а также стоимость покупки горячей, питьевой и технической воды, в том числе в целях оплаты потерь воды при транспортировке;</w:t>
      </w:r>
    </w:p>
    <w:p>
      <w:pPr>
        <w:pStyle w:val="0"/>
        <w:spacing w:before="200" w:lineRule="auto"/>
        <w:ind w:firstLine="540"/>
        <w:jc w:val="both"/>
      </w:pPr>
      <w:r>
        <w:rPr>
          <w:sz w:val="20"/>
        </w:rPr>
        <w:t xml:space="preserve">3) индекс изменения количества активов;</w:t>
      </w:r>
    </w:p>
    <w:p>
      <w:pPr>
        <w:pStyle w:val="0"/>
        <w:spacing w:before="200" w:lineRule="auto"/>
        <w:ind w:firstLine="540"/>
        <w:jc w:val="both"/>
      </w:pPr>
      <w:r>
        <w:rPr>
          <w:sz w:val="20"/>
        </w:rPr>
        <w:t xml:space="preserve">4) доходность долгосрочных государственных обязательств;</w:t>
      </w:r>
    </w:p>
    <w:p>
      <w:pPr>
        <w:pStyle w:val="0"/>
        <w:spacing w:before="200" w:lineRule="auto"/>
        <w:ind w:firstLine="540"/>
        <w:jc w:val="both"/>
      </w:pPr>
      <w:r>
        <w:rPr>
          <w:sz w:val="20"/>
        </w:rPr>
        <w:t xml:space="preserve">5) величина неподконтрольных расходов;</w:t>
      </w:r>
    </w:p>
    <w:p>
      <w:pPr>
        <w:pStyle w:val="0"/>
        <w:spacing w:before="200" w:lineRule="auto"/>
        <w:ind w:firstLine="540"/>
        <w:jc w:val="both"/>
      </w:pPr>
      <w:r>
        <w:rPr>
          <w:sz w:val="20"/>
        </w:rPr>
        <w:t xml:space="preserve">6) расчетные объемы отпуска воды, принимаемых сточных вод в соответствии с </w:t>
      </w:r>
      <w:hyperlink w:history="0" w:anchor="P65" w:tooltip="II. Определение объема отпуска воды, принятых сточных">
        <w:r>
          <w:rPr>
            <w:sz w:val="20"/>
            <w:color w:val="0000ff"/>
          </w:rPr>
          <w:t xml:space="preserve">главой II</w:t>
        </w:r>
      </w:hyperlink>
      <w:r>
        <w:rPr>
          <w:sz w:val="20"/>
        </w:rPr>
        <w:t xml:space="preserve"> настоящих Методических указаний;</w:t>
      </w:r>
    </w:p>
    <w:p>
      <w:pPr>
        <w:pStyle w:val="0"/>
        <w:spacing w:before="200" w:lineRule="auto"/>
        <w:ind w:firstLine="540"/>
        <w:jc w:val="both"/>
      </w:pPr>
      <w:r>
        <w:rPr>
          <w:sz w:val="20"/>
        </w:rPr>
        <w:t xml:space="preserve">7) стоимость и сроки начала строительства (реконструкции) и ввода в эксплуатацию объектов, предусмотренных утвержденной инвестиционной программой регулируемой организации, источники финансирования утвержденной инвестиционной программы, включая плату за подключение к системам водоснабжения и водоотведения.</w:t>
      </w:r>
    </w:p>
    <w:bookmarkStart w:id="309" w:name="P309"/>
    <w:bookmarkEnd w:id="309"/>
    <w:p>
      <w:pPr>
        <w:pStyle w:val="0"/>
        <w:spacing w:before="200" w:lineRule="auto"/>
        <w:ind w:firstLine="540"/>
        <w:jc w:val="both"/>
      </w:pPr>
      <w:r>
        <w:rPr>
          <w:sz w:val="20"/>
        </w:rPr>
        <w:t xml:space="preserve">42. Необходимая валовая выручка регулируемой организации на очередной год долгосрочного периода регулирования рассчитывается по формуле:</w:t>
      </w:r>
    </w:p>
    <w:p>
      <w:pPr>
        <w:pStyle w:val="0"/>
        <w:jc w:val="both"/>
      </w:pPr>
      <w:r>
        <w:rPr>
          <w:sz w:val="20"/>
        </w:rPr>
      </w:r>
    </w:p>
    <w:p>
      <w:pPr>
        <w:pStyle w:val="0"/>
        <w:jc w:val="center"/>
      </w:pPr>
      <w:r>
        <w:rPr>
          <w:position w:val="-9"/>
        </w:rPr>
        <w:drawing>
          <wp:inline distT="0" distB="0" distL="0" distR="0">
            <wp:extent cx="22733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2273300" cy="253365"/>
                    </a:xfrm>
                    <a:prstGeom prst="rect">
                      <a:avLst/>
                    </a:prstGeom>
                    <a:noFill/>
                    <a:ln>
                      <a:noFill/>
                    </a:ln>
                  </pic:spPr>
                </pic:pic>
              </a:graphicData>
            </a:graphic>
          </wp:inline>
        </w:drawing>
      </w:r>
      <w:r>
        <w:rPr>
          <w:sz w:val="20"/>
        </w:rPr>
        <w:t xml:space="preserve">, (4)</w:t>
      </w:r>
    </w:p>
    <w:p>
      <w:pPr>
        <w:pStyle w:val="0"/>
        <w:jc w:val="both"/>
      </w:pPr>
      <w:r>
        <w:rPr>
          <w:sz w:val="20"/>
        </w:rPr>
      </w:r>
    </w:p>
    <w:bookmarkStart w:id="313" w:name="P313"/>
    <w:bookmarkEnd w:id="313"/>
    <w:p>
      <w:pPr>
        <w:pStyle w:val="0"/>
        <w:jc w:val="center"/>
      </w:pPr>
      <w:r>
        <w:rPr>
          <w:position w:val="-12"/>
        </w:rPr>
        <w:drawing>
          <wp:inline distT="0" distB="0" distL="0" distR="0">
            <wp:extent cx="24384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438400" cy="279400"/>
                    </a:xfrm>
                    <a:prstGeom prst="rect">
                      <a:avLst/>
                    </a:prstGeom>
                    <a:noFill/>
                    <a:ln>
                      <a:noFill/>
                    </a:ln>
                  </pic:spPr>
                </pic:pic>
              </a:graphicData>
            </a:graphic>
          </wp:inline>
        </w:drawing>
      </w:r>
      <w:r>
        <w:rPr>
          <w:sz w:val="20"/>
        </w:rPr>
        <w:t xml:space="preserve">, (5)</w:t>
      </w:r>
    </w:p>
    <w:p>
      <w:pPr>
        <w:pStyle w:val="0"/>
        <w:jc w:val="both"/>
      </w:pPr>
      <w:r>
        <w:rPr>
          <w:sz w:val="20"/>
        </w:rPr>
      </w:r>
    </w:p>
    <w:bookmarkStart w:id="315" w:name="P315"/>
    <w:bookmarkEnd w:id="315"/>
    <w:p>
      <w:pPr>
        <w:pStyle w:val="0"/>
        <w:jc w:val="center"/>
      </w:pPr>
      <w:r>
        <w:rPr>
          <w:position w:val="-23"/>
        </w:rPr>
        <w:drawing>
          <wp:inline distT="0" distB="0" distL="0" distR="0">
            <wp:extent cx="22606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2260600" cy="419100"/>
                    </a:xfrm>
                    <a:prstGeom prst="rect">
                      <a:avLst/>
                    </a:prstGeom>
                    <a:noFill/>
                    <a:ln>
                      <a:noFill/>
                    </a:ln>
                  </pic:spPr>
                </pic:pic>
              </a:graphicData>
            </a:graphic>
          </wp:inline>
        </w:drawing>
      </w:r>
      <w:r>
        <w:rPr>
          <w:sz w:val="20"/>
        </w:rPr>
        <w:t xml:space="preserve">, (6)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2735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427355" cy="253365"/>
                    </a:xfrm>
                    <a:prstGeom prst="rect">
                      <a:avLst/>
                    </a:prstGeom>
                    <a:noFill/>
                    <a:ln>
                      <a:noFill/>
                    </a:ln>
                  </pic:spPr>
                </pic:pic>
              </a:graphicData>
            </a:graphic>
          </wp:inline>
        </w:drawing>
      </w:r>
      <w:r>
        <w:rPr>
          <w:sz w:val="20"/>
        </w:rPr>
        <w:t xml:space="preserve"> - необходимая валовая выручка, устанавливаемая на год i долгосрочного периода регулирования, тыс. руб.;</w:t>
      </w:r>
    </w:p>
    <w:p>
      <w:pPr>
        <w:pStyle w:val="0"/>
        <w:spacing w:before="200" w:lineRule="auto"/>
        <w:ind w:firstLine="540"/>
        <w:jc w:val="both"/>
      </w:pPr>
      <w:r>
        <w:rPr>
          <w:position w:val="-9"/>
        </w:rPr>
        <w:drawing>
          <wp:inline distT="0" distB="0" distL="0" distR="0">
            <wp:extent cx="47561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475615" cy="253365"/>
                    </a:xfrm>
                    <a:prstGeom prst="rect">
                      <a:avLst/>
                    </a:prstGeom>
                    <a:noFill/>
                    <a:ln>
                      <a:noFill/>
                    </a:ln>
                  </pic:spPr>
                </pic:pic>
              </a:graphicData>
            </a:graphic>
          </wp:inline>
        </w:drawing>
      </w:r>
      <w:r>
        <w:rPr>
          <w:sz w:val="20"/>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pPr>
        <w:pStyle w:val="0"/>
        <w:jc w:val="both"/>
      </w:pPr>
      <w:r>
        <w:rPr>
          <w:sz w:val="20"/>
        </w:rPr>
        <w:t xml:space="preserve">(в ред. </w:t>
      </w:r>
      <w:hyperlink w:history="0" r:id="rId112"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p>
      <w:pPr>
        <w:pStyle w:val="0"/>
        <w:spacing w:before="200" w:lineRule="auto"/>
        <w:ind w:firstLine="540"/>
        <w:jc w:val="both"/>
      </w:pPr>
      <w:r>
        <w:rPr>
          <w:position w:val="-8"/>
        </w:rPr>
        <w:drawing>
          <wp:inline distT="0" distB="0" distL="0" distR="0">
            <wp:extent cx="254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sz w:val="20"/>
        </w:rPr>
        <w:t xml:space="preserve"> - текущие расходы регулируемой организации, планируемые на год i, тыс. руб.;</w:t>
      </w:r>
    </w:p>
    <w:p>
      <w:pPr>
        <w:pStyle w:val="0"/>
        <w:spacing w:before="200" w:lineRule="auto"/>
        <w:ind w:firstLine="540"/>
        <w:jc w:val="both"/>
      </w:pPr>
      <w:r>
        <w:rPr>
          <w:position w:val="-8"/>
        </w:rPr>
        <w:drawing>
          <wp:inline distT="0" distB="0" distL="0" distR="0">
            <wp:extent cx="292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a:ln>
                      <a:noFill/>
                    </a:ln>
                  </pic:spPr>
                </pic:pic>
              </a:graphicData>
            </a:graphic>
          </wp:inline>
        </w:drawing>
      </w:r>
      <w:r>
        <w:rPr>
          <w:sz w:val="20"/>
        </w:rPr>
        <w:t xml:space="preserve"> - средства, обеспечивающие возврат инвестированного капитала в году i, тыс. руб.;</w:t>
      </w:r>
    </w:p>
    <w:p>
      <w:pPr>
        <w:pStyle w:val="0"/>
        <w:spacing w:before="200" w:lineRule="auto"/>
        <w:ind w:firstLine="540"/>
        <w:jc w:val="both"/>
      </w:pPr>
      <w:r>
        <w:rPr>
          <w:position w:val="-8"/>
        </w:rPr>
        <w:drawing>
          <wp:inline distT="0" distB="0" distL="0" distR="0">
            <wp:extent cx="292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a:ln>
                      <a:noFill/>
                    </a:ln>
                  </pic:spPr>
                </pic:pic>
              </a:graphicData>
            </a:graphic>
          </wp:inline>
        </w:drawing>
      </w:r>
      <w:r>
        <w:rPr>
          <w:sz w:val="20"/>
        </w:rPr>
        <w:t xml:space="preserve"> - средства, обеспечивающие получение дохода на инвестированный капитал в году i, тыс. руб.;</w:t>
      </w:r>
    </w:p>
    <w:p>
      <w:pPr>
        <w:pStyle w:val="0"/>
        <w:spacing w:before="200" w:lineRule="auto"/>
        <w:ind w:firstLine="540"/>
        <w:jc w:val="both"/>
      </w:pPr>
      <w:r>
        <w:rPr>
          <w:position w:val="-9"/>
        </w:rPr>
        <w:drawing>
          <wp:inline distT="0" distB="0" distL="0" distR="0">
            <wp:extent cx="52578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525780" cy="253365"/>
                    </a:xfrm>
                    <a:prstGeom prst="rect">
                      <a:avLst/>
                    </a:prstGeom>
                    <a:noFill/>
                    <a:ln>
                      <a:noFill/>
                    </a:ln>
                  </pic:spPr>
                </pic:pic>
              </a:graphicData>
            </a:graphic>
          </wp:inline>
        </w:drawing>
      </w:r>
      <w:r>
        <w:rPr>
          <w:sz w:val="20"/>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pPr>
        <w:pStyle w:val="0"/>
        <w:spacing w:before="200" w:lineRule="auto"/>
        <w:ind w:firstLine="540"/>
        <w:jc w:val="both"/>
      </w:pPr>
      <w:r>
        <w:rPr>
          <w:sz w:val="20"/>
        </w:rPr>
        <w:t xml:space="preserve">НД - норма доходности на капитал, инвестированный после начала долгосрочного периода регулирования;</w:t>
      </w:r>
    </w:p>
    <w:p>
      <w:pPr>
        <w:pStyle w:val="0"/>
        <w:spacing w:before="200" w:lineRule="auto"/>
        <w:ind w:firstLine="540"/>
        <w:jc w:val="both"/>
      </w:pPr>
      <w:r>
        <w:rPr>
          <w:position w:val="-10"/>
        </w:rPr>
        <w:drawing>
          <wp:inline distT="0" distB="0" distL="0" distR="0">
            <wp:extent cx="50228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502285" cy="254000"/>
                    </a:xfrm>
                    <a:prstGeom prst="rect">
                      <a:avLst/>
                    </a:prstGeom>
                    <a:noFill/>
                    <a:ln>
                      <a:noFill/>
                    </a:ln>
                  </pic:spPr>
                </pic:pic>
              </a:graphicData>
            </a:graphic>
          </wp:inline>
        </w:drawing>
      </w:r>
      <w:r>
        <w:rPr>
          <w:sz w:val="20"/>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 в том числе с учетом положений </w:t>
      </w:r>
      <w:hyperlink w:history="0" w:anchor="P331" w:tooltip="Если в предложении об установлении тарифов регулируемой организации, которая эксплуатирует объекты централизованных систем водоснабжения и (или) водоотведения в соответствии с концессионным соглашением, при расчете величины сглаживания необходимой валовой выручки указано на применение величины, превышающей значение 0,12, предусмотренное формулой (5), и применение такой величины обосновано необходимостью соблюдения (установления) долгосрочных тарифов и (или) долгосрочных параметров регулирования тарифов, ...">
        <w:r>
          <w:rPr>
            <w:sz w:val="20"/>
            <w:color w:val="0000ff"/>
          </w:rPr>
          <w:t xml:space="preserve">абзаца шестнадцатого</w:t>
        </w:r>
      </w:hyperlink>
      <w:r>
        <w:rPr>
          <w:sz w:val="20"/>
        </w:rPr>
        <w:t xml:space="preserve"> настоящего пункта;</w:t>
      </w:r>
    </w:p>
    <w:p>
      <w:pPr>
        <w:pStyle w:val="0"/>
        <w:jc w:val="both"/>
      </w:pPr>
      <w:r>
        <w:rPr>
          <w:sz w:val="20"/>
        </w:rPr>
        <w:t xml:space="preserve">(в ред. Приказов ФАС России от 29.10.2019 </w:t>
      </w:r>
      <w:hyperlink w:history="0" r:id="rId118"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N 1438/19</w:t>
        </w:r>
      </w:hyperlink>
      <w:r>
        <w:rPr>
          <w:sz w:val="20"/>
        </w:rPr>
        <w:t xml:space="preserve">, от 27.05.2024 </w:t>
      </w:r>
      <w:hyperlink w:history="0" r:id="rId119" w:tooltip="Приказ ФАС России от 27.05.2024 N 363/24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 декабря 2013 г. N 1746-э&quot; (Зарегистрировано в Минюсте России 03.09.2024 N 79377) {КонсультантПлюс}">
        <w:r>
          <w:rPr>
            <w:sz w:val="20"/>
            <w:color w:val="0000ff"/>
          </w:rPr>
          <w:t xml:space="preserve">N 363/24</w:t>
        </w:r>
      </w:hyperlink>
      <w:r>
        <w:rPr>
          <w:sz w:val="20"/>
        </w:rPr>
        <w:t xml:space="preserve">)</w:t>
      </w:r>
    </w:p>
    <w:p>
      <w:pPr>
        <w:pStyle w:val="0"/>
        <w:spacing w:before="200" w:lineRule="auto"/>
        <w:ind w:firstLine="540"/>
        <w:jc w:val="both"/>
      </w:pPr>
      <w:r>
        <w:rPr>
          <w:position w:val="-9"/>
        </w:rPr>
        <w:drawing>
          <wp:inline distT="0" distB="0" distL="0" distR="0">
            <wp:extent cx="4445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444500" cy="253365"/>
                    </a:xfrm>
                    <a:prstGeom prst="rect">
                      <a:avLst/>
                    </a:prstGeom>
                    <a:noFill/>
                    <a:ln>
                      <a:noFill/>
                    </a:ln>
                  </pic:spPr>
                </pic:pic>
              </a:graphicData>
            </a:graphic>
          </wp:inline>
        </w:drawing>
      </w:r>
      <w:r>
        <w:rPr>
          <w:sz w:val="20"/>
        </w:rPr>
        <w:t xml:space="preserve"> - необходимая валовая выручка, устанавливаемая на год i долгосрочного периода регулирования без учета сглаживания, тыс. руб.</w:t>
      </w:r>
    </w:p>
    <w:p>
      <w:pPr>
        <w:pStyle w:val="0"/>
        <w:spacing w:before="200" w:lineRule="auto"/>
        <w:ind w:firstLine="540"/>
        <w:jc w:val="both"/>
      </w:pPr>
      <w:r>
        <w:rPr>
          <w:sz w:val="20"/>
        </w:rPr>
        <w:t xml:space="preserve">Сглаживание необходимой валовой выручки осуществляется посредством переноса в соответствии с </w:t>
      </w:r>
      <w:hyperlink w:history="0" w:anchor="P313" w:tooltip=", (5)">
        <w:r>
          <w:rPr>
            <w:sz w:val="20"/>
            <w:color w:val="0000ff"/>
          </w:rPr>
          <w:t xml:space="preserve">формулой (5)</w:t>
        </w:r>
      </w:hyperlink>
      <w:r>
        <w:rPr>
          <w:sz w:val="20"/>
        </w:rPr>
        <w:t xml:space="preserve"> части необходимой валовой выручки, рассчитанной для расчетного периода регулирования (расчетных периодов регулирования), на последующие расчетные периоды регулирования.</w:t>
      </w:r>
    </w:p>
    <w:p>
      <w:pPr>
        <w:pStyle w:val="0"/>
        <w:jc w:val="both"/>
      </w:pPr>
      <w:r>
        <w:rPr>
          <w:sz w:val="20"/>
        </w:rPr>
        <w:t xml:space="preserve">(абзац введен </w:t>
      </w:r>
      <w:hyperlink w:history="0" r:id="rId121" w:tooltip="Приказ ФАС России от 27.05.2024 N 363/24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 декабря 2013 г. N 1746-э&quot; (Зарегистрировано в Минюсте России 03.09.2024 N 79377) {КонсультантПлюс}">
        <w:r>
          <w:rPr>
            <w:sz w:val="20"/>
            <w:color w:val="0000ff"/>
          </w:rPr>
          <w:t xml:space="preserve">Приказом</w:t>
        </w:r>
      </w:hyperlink>
      <w:r>
        <w:rPr>
          <w:sz w:val="20"/>
        </w:rPr>
        <w:t xml:space="preserve"> ФАС России от 27.05.2024 N 363/24)</w:t>
      </w:r>
    </w:p>
    <w:bookmarkStart w:id="331" w:name="P331"/>
    <w:bookmarkEnd w:id="331"/>
    <w:p>
      <w:pPr>
        <w:pStyle w:val="0"/>
        <w:spacing w:before="200" w:lineRule="auto"/>
        <w:ind w:firstLine="540"/>
        <w:jc w:val="both"/>
      </w:pPr>
      <w:r>
        <w:rPr>
          <w:sz w:val="20"/>
        </w:rPr>
        <w:t xml:space="preserve">Если в предложении об установлении тарифов регулируемой организации, которая эксплуатирует объекты централизованных систем водоснабжения и (или) водоотведения в соответствии с концессионным соглашением, при расчете величины сглаживания необходимой валовой выручки указано на применение величины, превышающей значение 0,12, предусмотренное </w:t>
      </w:r>
      <w:hyperlink w:history="0" w:anchor="P313" w:tooltip=", (5)">
        <w:r>
          <w:rPr>
            <w:sz w:val="20"/>
            <w:color w:val="0000ff"/>
          </w:rPr>
          <w:t xml:space="preserve">формулой (5)</w:t>
        </w:r>
      </w:hyperlink>
      <w:r>
        <w:rPr>
          <w:sz w:val="20"/>
        </w:rPr>
        <w:t xml:space="preserve">, и применение такой величины обосновано необходимостью соблюдения (установления) долгосрочных тарифов и (или) долгосрочных параметров регулирования тарифов, предусмотренных концессионным соглашением, то орган регулирования тарифов вместо величины 0,12 применяет значение, указанное в таком предложении. Применение указанной в настоящем абзаце величины сглаживания не влияет на величину сглаживания, определяемую по </w:t>
      </w:r>
      <w:hyperlink w:history="0" w:anchor="P315" w:tooltip=", (6)">
        <w:r>
          <w:rPr>
            <w:sz w:val="20"/>
            <w:color w:val="0000ff"/>
          </w:rPr>
          <w:t xml:space="preserve">формуле (6)</w:t>
        </w:r>
      </w:hyperlink>
      <w:r>
        <w:rPr>
          <w:sz w:val="20"/>
        </w:rPr>
        <w:t xml:space="preserve">.</w:t>
      </w:r>
    </w:p>
    <w:p>
      <w:pPr>
        <w:pStyle w:val="0"/>
        <w:jc w:val="both"/>
      </w:pPr>
      <w:r>
        <w:rPr>
          <w:sz w:val="20"/>
        </w:rPr>
        <w:t xml:space="preserve">(абзац введен </w:t>
      </w:r>
      <w:hyperlink w:history="0" r:id="rId122" w:tooltip="Приказ ФАС России от 27.05.2024 N 363/24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 декабря 2013 г. N 1746-э&quot; (Зарегистрировано в Минюсте России 03.09.2024 N 79377) {КонсультантПлюс}">
        <w:r>
          <w:rPr>
            <w:sz w:val="20"/>
            <w:color w:val="0000ff"/>
          </w:rPr>
          <w:t xml:space="preserve">Приказом</w:t>
        </w:r>
      </w:hyperlink>
      <w:r>
        <w:rPr>
          <w:sz w:val="20"/>
        </w:rPr>
        <w:t xml:space="preserve"> ФАС России от 27.05.2024 N 363/24)</w:t>
      </w:r>
    </w:p>
    <w:p>
      <w:pPr>
        <w:pStyle w:val="0"/>
        <w:jc w:val="both"/>
      </w:pPr>
      <w:r>
        <w:rPr>
          <w:sz w:val="20"/>
        </w:rPr>
      </w:r>
    </w:p>
    <w:bookmarkStart w:id="334" w:name="P334"/>
    <w:bookmarkEnd w:id="334"/>
    <w:p>
      <w:pPr>
        <w:pStyle w:val="2"/>
        <w:outlineLvl w:val="2"/>
        <w:jc w:val="center"/>
      </w:pPr>
      <w:r>
        <w:rPr>
          <w:sz w:val="20"/>
        </w:rPr>
        <w:t xml:space="preserve">VI.I. Расчет текущих расходов</w:t>
      </w:r>
    </w:p>
    <w:p>
      <w:pPr>
        <w:pStyle w:val="0"/>
        <w:jc w:val="both"/>
      </w:pPr>
      <w:r>
        <w:rPr>
          <w:sz w:val="20"/>
        </w:rPr>
      </w:r>
    </w:p>
    <w:p>
      <w:pPr>
        <w:pStyle w:val="0"/>
        <w:ind w:firstLine="540"/>
        <w:jc w:val="both"/>
      </w:pPr>
      <w:r>
        <w:rPr>
          <w:sz w:val="20"/>
        </w:rPr>
        <w:t xml:space="preserve">43. Текущие расходы рассчитываются по формуле:</w:t>
      </w:r>
    </w:p>
    <w:p>
      <w:pPr>
        <w:pStyle w:val="0"/>
        <w:jc w:val="both"/>
      </w:pPr>
      <w:r>
        <w:rPr>
          <w:sz w:val="20"/>
        </w:rPr>
      </w:r>
    </w:p>
    <w:p>
      <w:pPr>
        <w:pStyle w:val="0"/>
        <w:jc w:val="center"/>
      </w:pPr>
      <w:r>
        <w:rPr>
          <w:position w:val="-8"/>
        </w:rPr>
        <w:drawing>
          <wp:inline distT="0" distB="0" distL="0" distR="0">
            <wp:extent cx="1473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1473200" cy="228600"/>
                    </a:xfrm>
                    <a:prstGeom prst="rect">
                      <a:avLst/>
                    </a:prstGeom>
                    <a:noFill/>
                    <a:ln>
                      <a:noFill/>
                    </a:ln>
                  </pic:spPr>
                </pic:pic>
              </a:graphicData>
            </a:graphic>
          </wp:inline>
        </w:drawing>
      </w:r>
      <w:r>
        <w:rPr>
          <w:sz w:val="20"/>
        </w:rPr>
        <w:t xml:space="preserve">, (7)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54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sz w:val="20"/>
        </w:rPr>
        <w:t xml:space="preserve"> - текущие расходы, тыс. руб.;</w:t>
      </w:r>
    </w:p>
    <w:p>
      <w:pPr>
        <w:pStyle w:val="0"/>
        <w:spacing w:before="200" w:lineRule="auto"/>
        <w:ind w:firstLine="540"/>
        <w:jc w:val="both"/>
      </w:pPr>
      <w:r>
        <w:rPr>
          <w:position w:val="-8"/>
        </w:rPr>
        <w:drawing>
          <wp:inline distT="0" distB="0" distL="0" distR="0">
            <wp:extent cx="2667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0"/>
        </w:rPr>
        <w:t xml:space="preserve"> - операционные расходы, тыс. руб.;</w:t>
      </w:r>
    </w:p>
    <w:p>
      <w:pPr>
        <w:pStyle w:val="0"/>
        <w:spacing w:before="200" w:lineRule="auto"/>
        <w:ind w:firstLine="540"/>
        <w:jc w:val="both"/>
      </w:pPr>
      <w:r>
        <w:rPr>
          <w:position w:val="-8"/>
        </w:rPr>
        <w:drawing>
          <wp:inline distT="0" distB="0" distL="0" distR="0">
            <wp:extent cx="2667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0"/>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pPr>
        <w:pStyle w:val="0"/>
        <w:spacing w:before="200" w:lineRule="auto"/>
        <w:ind w:firstLine="540"/>
        <w:jc w:val="both"/>
      </w:pPr>
      <w:r>
        <w:rPr>
          <w:position w:val="-8"/>
        </w:rPr>
        <w:drawing>
          <wp:inline distT="0" distB="0" distL="0" distR="0">
            <wp:extent cx="279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Pr>
          <w:sz w:val="20"/>
        </w:rPr>
        <w:t xml:space="preserve"> - неподконтрольные расходы, тыс. руб.</w:t>
      </w:r>
    </w:p>
    <w:p>
      <w:pPr>
        <w:pStyle w:val="0"/>
        <w:spacing w:before="200" w:lineRule="auto"/>
        <w:ind w:firstLine="540"/>
        <w:jc w:val="both"/>
      </w:pPr>
      <w:r>
        <w:rPr>
          <w:sz w:val="20"/>
        </w:rPr>
        <w:t xml:space="preserve">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pPr>
        <w:pStyle w:val="0"/>
        <w:spacing w:before="200" w:lineRule="auto"/>
        <w:ind w:firstLine="540"/>
        <w:jc w:val="both"/>
      </w:pPr>
      <w:r>
        <w:rPr>
          <w:sz w:val="20"/>
        </w:rPr>
        <w:t xml:space="preserve">44. Операционные расходы включают в себя:</w:t>
      </w:r>
    </w:p>
    <w:p>
      <w:pPr>
        <w:pStyle w:val="0"/>
        <w:spacing w:before="200" w:lineRule="auto"/>
        <w:ind w:firstLine="540"/>
        <w:jc w:val="both"/>
      </w:pPr>
      <w:r>
        <w:rPr>
          <w:sz w:val="20"/>
        </w:rPr>
        <w:t xml:space="preserve">1) производственные расходы, определенные в соответствии с </w:t>
      </w:r>
      <w:hyperlink w:history="0" w:anchor="P125" w:tooltip="16.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
        <w:r>
          <w:rPr>
            <w:sz w:val="20"/>
            <w:color w:val="0000ff"/>
          </w:rPr>
          <w:t xml:space="preserve">пунктами 16</w:t>
        </w:r>
      </w:hyperlink>
      <w:r>
        <w:rPr>
          <w:sz w:val="20"/>
        </w:rPr>
        <w:t xml:space="preserve"> - </w:t>
      </w:r>
      <w:hyperlink w:history="0" w:anchor="P144" w:tooltip="18. В составе производственных расходов учитываются:">
        <w:r>
          <w:rPr>
            <w:sz w:val="20"/>
            <w:color w:val="0000ff"/>
          </w:rPr>
          <w:t xml:space="preserve">18</w:t>
        </w:r>
      </w:hyperlink>
      <w:r>
        <w:rPr>
          <w:sz w:val="20"/>
        </w:rPr>
        <w:t xml:space="preserve"> настоящих Методических указаний, за исключением расходов на реагенты и электрическую энергию (мощность, тепловую энергию и другие виды энергетических ресурсов);</w:t>
      </w:r>
    </w:p>
    <w:p>
      <w:pPr>
        <w:pStyle w:val="0"/>
        <w:jc w:val="both"/>
      </w:pPr>
      <w:r>
        <w:rPr>
          <w:sz w:val="20"/>
        </w:rPr>
        <w:t xml:space="preserve">(в ред. </w:t>
      </w:r>
      <w:hyperlink w:history="0" r:id="rId128"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Приказа</w:t>
        </w:r>
      </w:hyperlink>
      <w:r>
        <w:rPr>
          <w:sz w:val="20"/>
        </w:rPr>
        <w:t xml:space="preserve"> ФАС России от 08.10.2020 N 976/20)</w:t>
      </w:r>
    </w:p>
    <w:p>
      <w:pPr>
        <w:pStyle w:val="0"/>
        <w:spacing w:before="200" w:lineRule="auto"/>
        <w:ind w:firstLine="540"/>
        <w:jc w:val="both"/>
      </w:pPr>
      <w:r>
        <w:rPr>
          <w:sz w:val="20"/>
        </w:rPr>
        <w:t xml:space="preserve">2) ремонтные расходы, определенные в соответствии с </w:t>
      </w:r>
      <w:hyperlink w:history="0" w:anchor="P167" w:tooltip="23. В составе ремонтных расходов учитываются:">
        <w:r>
          <w:rPr>
            <w:sz w:val="20"/>
            <w:color w:val="0000ff"/>
          </w:rPr>
          <w:t xml:space="preserve">пунктами 23</w:t>
        </w:r>
      </w:hyperlink>
      <w:r>
        <w:rPr>
          <w:sz w:val="20"/>
        </w:rPr>
        <w:t xml:space="preserve"> - </w:t>
      </w:r>
      <w:hyperlink w:history="0" w:anchor="P172" w:tooltip="24. При определении расходов регулируемой организации на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
        <w:r>
          <w:rPr>
            <w:sz w:val="20"/>
            <w:color w:val="0000ff"/>
          </w:rPr>
          <w:t xml:space="preserve">24</w:t>
        </w:r>
      </w:hyperlink>
      <w:r>
        <w:rPr>
          <w:sz w:val="20"/>
        </w:rPr>
        <w:t xml:space="preserve"> настоящих Методических указаний;</w:t>
      </w:r>
    </w:p>
    <w:p>
      <w:pPr>
        <w:pStyle w:val="0"/>
        <w:spacing w:before="200" w:lineRule="auto"/>
        <w:ind w:firstLine="540"/>
        <w:jc w:val="both"/>
      </w:pPr>
      <w:r>
        <w:rPr>
          <w:sz w:val="20"/>
        </w:rPr>
        <w:t xml:space="preserve">3) административные расходы, определенные в соответствии с </w:t>
      </w:r>
      <w:hyperlink w:history="0" w:anchor="P174" w:tooltip="25. К административным расходам относятся:">
        <w:r>
          <w:rPr>
            <w:sz w:val="20"/>
            <w:color w:val="0000ff"/>
          </w:rPr>
          <w:t xml:space="preserve">пунктом 25</w:t>
        </w:r>
      </w:hyperlink>
      <w:r>
        <w:rPr>
          <w:sz w:val="20"/>
        </w:rPr>
        <w:t xml:space="preserve"> настоящих Методических указаний;</w:t>
      </w:r>
    </w:p>
    <w:bookmarkStart w:id="351" w:name="P351"/>
    <w:bookmarkEnd w:id="351"/>
    <w:p>
      <w:pPr>
        <w:pStyle w:val="0"/>
        <w:spacing w:before="200" w:lineRule="auto"/>
        <w:ind w:firstLine="540"/>
        <w:jc w:val="both"/>
      </w:pPr>
      <w:r>
        <w:rPr>
          <w:sz w:val="20"/>
        </w:rPr>
        <w:t xml:space="preserve">4) сбытовые расходы.</w:t>
      </w:r>
    </w:p>
    <w:bookmarkStart w:id="352" w:name="P352"/>
    <w:bookmarkEnd w:id="352"/>
    <w:p>
      <w:pPr>
        <w:pStyle w:val="0"/>
        <w:spacing w:before="200" w:lineRule="auto"/>
        <w:ind w:firstLine="540"/>
        <w:jc w:val="both"/>
      </w:pPr>
      <w:r>
        <w:rPr>
          <w:sz w:val="20"/>
        </w:rPr>
        <w:t xml:space="preserve">45. Операционные расходы на первый год долгосрочного периода регулирования (далее - базовый уровень операционных расходов) рассчитываются с применением метода экономически обоснованных расходов (затрат) в соответствии с </w:t>
      </w:r>
      <w:hyperlink w:history="0" w:anchor="P137" w:tooltip="17. При определении расходов на оплату труда, включаемых в необходимую валовую выручку, размер фонда оплаты труда определяется в соответствии с Приложениями 2.2, 2.2.1 к настоящим Методическим указаниям.">
        <w:r>
          <w:rPr>
            <w:sz w:val="20"/>
            <w:color w:val="0000ff"/>
          </w:rPr>
          <w:t xml:space="preserve">пунктами 17</w:t>
        </w:r>
      </w:hyperlink>
      <w:r>
        <w:rPr>
          <w:sz w:val="20"/>
        </w:rPr>
        <w:t xml:space="preserve"> - </w:t>
      </w:r>
      <w:hyperlink w:history="0" w:anchor="P186" w:tooltip="26. К сбытовым расходам гарантирующей организации относятся:">
        <w:r>
          <w:rPr>
            <w:sz w:val="20"/>
            <w:color w:val="0000ff"/>
          </w:rPr>
          <w:t xml:space="preserve">26</w:t>
        </w:r>
      </w:hyperlink>
      <w:r>
        <w:rPr>
          <w:sz w:val="20"/>
        </w:rPr>
        <w:t xml:space="preserve"> настоящих Методических указаний (за исключением расходов на электрическую энергию (мощность, тепловую энергию и другие виды энергетических ресурсов)). Операционные расходы на второй и последующие годы долгосрочного периода регулирования рассчитываются по формуле:</w:t>
      </w:r>
    </w:p>
    <w:p>
      <w:pPr>
        <w:pStyle w:val="0"/>
        <w:jc w:val="both"/>
      </w:pPr>
      <w:r>
        <w:rPr>
          <w:sz w:val="20"/>
        </w:rPr>
      </w:r>
    </w:p>
    <w:bookmarkStart w:id="354" w:name="P354"/>
    <w:bookmarkEnd w:id="354"/>
    <w:p>
      <w:pPr>
        <w:pStyle w:val="0"/>
        <w:jc w:val="center"/>
      </w:pPr>
      <w:r>
        <w:rPr>
          <w:sz w:val="20"/>
        </w:rPr>
        <w:t xml:space="preserve">ОР</w:t>
      </w:r>
      <w:r>
        <w:rPr>
          <w:sz w:val="20"/>
          <w:vertAlign w:val="subscript"/>
        </w:rPr>
        <w:t xml:space="preserve">i</w:t>
      </w:r>
      <w:r>
        <w:rPr>
          <w:sz w:val="20"/>
        </w:rPr>
        <w:t xml:space="preserve"> = ОР</w:t>
      </w:r>
      <w:r>
        <w:rPr>
          <w:sz w:val="20"/>
          <w:vertAlign w:val="subscript"/>
        </w:rPr>
        <w:t xml:space="preserve">i-1</w:t>
      </w:r>
      <w:r>
        <w:rPr>
          <w:sz w:val="20"/>
        </w:rPr>
        <w:t xml:space="preserve"> * (1 - ИЭР</w:t>
      </w:r>
      <w:r>
        <w:rPr>
          <w:sz w:val="20"/>
          <w:vertAlign w:val="subscript"/>
        </w:rPr>
        <w:t xml:space="preserve">i</w:t>
      </w:r>
      <w:r>
        <w:rPr>
          <w:sz w:val="20"/>
        </w:rPr>
        <w:t xml:space="preserve">) * (1 + ИПЦ</w:t>
      </w:r>
      <w:r>
        <w:rPr>
          <w:sz w:val="20"/>
          <w:vertAlign w:val="subscript"/>
        </w:rPr>
        <w:t xml:space="preserve">i</w:t>
      </w:r>
      <w:r>
        <w:rPr>
          <w:sz w:val="20"/>
        </w:rPr>
        <w:t xml:space="preserve">) * (1 + ИКА</w:t>
      </w:r>
      <w:r>
        <w:rPr>
          <w:sz w:val="20"/>
          <w:vertAlign w:val="subscript"/>
        </w:rPr>
        <w:t xml:space="preserve">i</w:t>
      </w:r>
      <w:r>
        <w:rPr>
          <w:sz w:val="20"/>
        </w:rPr>
        <w:t xml:space="preserve">), (8)</w:t>
      </w:r>
    </w:p>
    <w:p>
      <w:pPr>
        <w:pStyle w:val="0"/>
        <w:jc w:val="both"/>
      </w:pPr>
      <w:r>
        <w:rPr>
          <w:sz w:val="20"/>
        </w:rPr>
        <w:t xml:space="preserve">(в ред. </w:t>
      </w:r>
      <w:hyperlink w:history="0" r:id="rId129"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ОР</w:t>
      </w:r>
      <w:r>
        <w:rPr>
          <w:sz w:val="20"/>
          <w:vertAlign w:val="subscript"/>
        </w:rPr>
        <w:t xml:space="preserve">i-1</w:t>
      </w:r>
      <w:r>
        <w:rPr>
          <w:sz w:val="20"/>
        </w:rPr>
        <w:t xml:space="preserve"> - операционные расходы в (i-1)-м году (базовый уровень), тыс. руб.;</w:t>
      </w:r>
    </w:p>
    <w:p>
      <w:pPr>
        <w:pStyle w:val="0"/>
        <w:jc w:val="both"/>
      </w:pPr>
      <w:r>
        <w:rPr>
          <w:sz w:val="20"/>
        </w:rPr>
        <w:t xml:space="preserve">(в ред. </w:t>
      </w:r>
      <w:hyperlink w:history="0" r:id="rId130"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p>
      <w:pPr>
        <w:pStyle w:val="0"/>
        <w:spacing w:before="200" w:lineRule="auto"/>
        <w:ind w:firstLine="540"/>
        <w:jc w:val="both"/>
      </w:pPr>
      <w:r>
        <w:rPr>
          <w:sz w:val="20"/>
        </w:rPr>
        <w:t xml:space="preserve">ИЭР</w:t>
      </w:r>
      <w:r>
        <w:rPr>
          <w:sz w:val="20"/>
          <w:vertAlign w:val="subscript"/>
        </w:rPr>
        <w:t xml:space="preserve">i</w:t>
      </w:r>
      <w:r>
        <w:rPr>
          <w:sz w:val="20"/>
        </w:rPr>
        <w:t xml:space="preserve"> - индекс эффективности операционных расходов в i-м году, процентов;</w:t>
      </w:r>
    </w:p>
    <w:p>
      <w:pPr>
        <w:pStyle w:val="0"/>
        <w:jc w:val="both"/>
      </w:pPr>
      <w:r>
        <w:rPr>
          <w:sz w:val="20"/>
        </w:rPr>
        <w:t xml:space="preserve">(в ред. </w:t>
      </w:r>
      <w:hyperlink w:history="0" r:id="rId131"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p>
      <w:pPr>
        <w:pStyle w:val="0"/>
        <w:spacing w:before="200" w:lineRule="auto"/>
        <w:ind w:firstLine="540"/>
        <w:jc w:val="both"/>
      </w:pPr>
      <w:r>
        <w:rPr>
          <w:sz w:val="20"/>
        </w:rPr>
        <w:t xml:space="preserve">ИПЦ</w:t>
      </w:r>
      <w:r>
        <w:rPr>
          <w:sz w:val="20"/>
          <w:vertAlign w:val="subscript"/>
        </w:rPr>
        <w:t xml:space="preserve">i</w:t>
      </w:r>
      <w:r>
        <w:rPr>
          <w:sz w:val="20"/>
        </w:rPr>
        <w:t xml:space="preserve"> - индекс потребительских цен, определенный в базовом варианте прогноза социально-экономического развития Российской Федерации на очередной период регулирования;</w:t>
      </w:r>
    </w:p>
    <w:p>
      <w:pPr>
        <w:pStyle w:val="0"/>
        <w:jc w:val="both"/>
      </w:pPr>
      <w:r>
        <w:rPr>
          <w:sz w:val="20"/>
        </w:rPr>
        <w:t xml:space="preserve">(в ред. </w:t>
      </w:r>
      <w:hyperlink w:history="0" r:id="rId132"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p>
      <w:pPr>
        <w:pStyle w:val="0"/>
        <w:spacing w:before="200" w:lineRule="auto"/>
        <w:ind w:firstLine="540"/>
        <w:jc w:val="both"/>
      </w:pPr>
      <w:r>
        <w:rPr>
          <w:sz w:val="20"/>
        </w:rPr>
        <w:t xml:space="preserve">ИКА</w:t>
      </w:r>
      <w:r>
        <w:rPr>
          <w:sz w:val="20"/>
          <w:vertAlign w:val="subscript"/>
        </w:rPr>
        <w:t xml:space="preserve">i</w:t>
      </w:r>
      <w:r>
        <w:rPr>
          <w:sz w:val="20"/>
        </w:rPr>
        <w:t xml:space="preserve"> - индекс изменения количества активов в i-м году.</w:t>
      </w:r>
    </w:p>
    <w:p>
      <w:pPr>
        <w:pStyle w:val="0"/>
        <w:jc w:val="both"/>
      </w:pPr>
      <w:r>
        <w:rPr>
          <w:sz w:val="20"/>
        </w:rPr>
        <w:t xml:space="preserve">(в ред. </w:t>
      </w:r>
      <w:hyperlink w:history="0" r:id="rId133"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p>
      <w:pPr>
        <w:pStyle w:val="0"/>
        <w:spacing w:before="200" w:lineRule="auto"/>
        <w:ind w:firstLine="540"/>
        <w:jc w:val="both"/>
      </w:pPr>
      <w:r>
        <w:rPr>
          <w:sz w:val="20"/>
        </w:rPr>
        <w:t xml:space="preserve">Индекс изменения количества активов рассчитывается по формуле:</w:t>
      </w:r>
    </w:p>
    <w:p>
      <w:pPr>
        <w:pStyle w:val="0"/>
        <w:jc w:val="both"/>
      </w:pPr>
      <w:r>
        <w:rPr>
          <w:sz w:val="20"/>
        </w:rPr>
      </w:r>
    </w:p>
    <w:bookmarkStart w:id="368" w:name="P368"/>
    <w:bookmarkEnd w:id="368"/>
    <w:p>
      <w:pPr>
        <w:pStyle w:val="0"/>
        <w:jc w:val="center"/>
      </w:pPr>
      <w:r>
        <w:rPr>
          <w:position w:val="-23"/>
        </w:rPr>
        <w:drawing>
          <wp:inline distT="0" distB="0" distL="0" distR="0">
            <wp:extent cx="41021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4102100" cy="419100"/>
                    </a:xfrm>
                    <a:prstGeom prst="rect">
                      <a:avLst/>
                    </a:prstGeom>
                    <a:noFill/>
                    <a:ln>
                      <a:noFill/>
                    </a:ln>
                  </pic:spPr>
                </pic:pic>
              </a:graphicData>
            </a:graphic>
          </wp:inline>
        </w:drawing>
      </w:r>
      <w:r>
        <w:rPr>
          <w:sz w:val="20"/>
        </w:rPr>
        <w:t xml:space="preserve">, (8.1)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1783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417830" cy="228600"/>
                    </a:xfrm>
                    <a:prstGeom prst="rect">
                      <a:avLst/>
                    </a:prstGeom>
                    <a:noFill/>
                    <a:ln>
                      <a:noFill/>
                    </a:ln>
                  </pic:spPr>
                </pic:pic>
              </a:graphicData>
            </a:graphic>
          </wp:inline>
        </w:drawing>
      </w:r>
      <w:r>
        <w:rPr>
          <w:sz w:val="20"/>
        </w:rPr>
        <w:t xml:space="preserve"> - индекс изменения количества активов в году i;</w:t>
      </w:r>
    </w:p>
    <w:p>
      <w:pPr>
        <w:pStyle w:val="0"/>
        <w:spacing w:before="200" w:lineRule="auto"/>
        <w:ind w:firstLine="540"/>
        <w:jc w:val="both"/>
      </w:pPr>
      <w:r>
        <w:rPr>
          <w:position w:val="-8"/>
        </w:rPr>
        <w:drawing>
          <wp:inline distT="0" distB="0" distL="0" distR="0">
            <wp:extent cx="292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a:ln>
                      <a:noFill/>
                    </a:ln>
                  </pic:spPr>
                </pic:pic>
              </a:graphicData>
            </a:graphic>
          </wp:inline>
        </w:drawing>
      </w:r>
      <w:r>
        <w:rPr>
          <w:sz w:val="20"/>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pPr>
        <w:pStyle w:val="0"/>
        <w:spacing w:before="200" w:lineRule="auto"/>
        <w:ind w:firstLine="540"/>
        <w:jc w:val="both"/>
      </w:pPr>
      <w:r>
        <w:rPr>
          <w:position w:val="-8"/>
        </w:rPr>
        <w:drawing>
          <wp:inline distT="0" distB="0" distL="0" distR="0">
            <wp:extent cx="5257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Pr>
          <w:sz w:val="20"/>
        </w:rPr>
        <w:t xml:space="preserve"> - изменение количества условных километров водопроводной (канализационной) сети, эксплуатируемых регулируемой организацией, произошедшее в году i, выраженное в процентах;</w:t>
      </w:r>
    </w:p>
    <w:p>
      <w:pPr>
        <w:pStyle w:val="0"/>
        <w:jc w:val="both"/>
      </w:pPr>
      <w:r>
        <w:rPr>
          <w:sz w:val="20"/>
        </w:rPr>
        <w:t xml:space="preserve">(в ред. </w:t>
      </w:r>
      <w:hyperlink w:history="0" r:id="rId138"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Приказа</w:t>
        </w:r>
      </w:hyperlink>
      <w:r>
        <w:rPr>
          <w:sz w:val="20"/>
        </w:rPr>
        <w:t xml:space="preserve"> ФАС России от 08.10.2020 N 976/20)</w:t>
      </w:r>
    </w:p>
    <w:p>
      <w:pPr>
        <w:pStyle w:val="0"/>
        <w:spacing w:before="200" w:lineRule="auto"/>
        <w:ind w:firstLine="540"/>
        <w:jc w:val="both"/>
      </w:pPr>
      <w:r>
        <w:rPr>
          <w:position w:val="-8"/>
        </w:rPr>
        <w:drawing>
          <wp:inline distT="0" distB="0" distL="0" distR="0">
            <wp:extent cx="35750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357505" cy="228600"/>
                    </a:xfrm>
                    <a:prstGeom prst="rect">
                      <a:avLst/>
                    </a:prstGeom>
                    <a:noFill/>
                    <a:ln>
                      <a:noFill/>
                    </a:ln>
                  </pic:spPr>
                </pic:pic>
              </a:graphicData>
            </a:graphic>
          </wp:inline>
        </w:drawing>
      </w:r>
      <w:r>
        <w:rPr>
          <w:sz w:val="20"/>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pPr>
        <w:pStyle w:val="0"/>
        <w:spacing w:before="200" w:lineRule="auto"/>
        <w:ind w:firstLine="540"/>
        <w:jc w:val="both"/>
      </w:pPr>
      <w:r>
        <w:rPr>
          <w:sz w:val="20"/>
        </w:rPr>
        <w:t xml:space="preserve">46. Индекс эффективности операционных расходов устанавливается органом регулирования тарифов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в год. На первый долгосрочный период регулирования индекс эффективности операционных расходов определяется в размере от 1 до 3 процентов в год.</w:t>
      </w:r>
    </w:p>
    <w:p>
      <w:pPr>
        <w:pStyle w:val="0"/>
        <w:spacing w:before="200" w:lineRule="auto"/>
        <w:ind w:firstLine="540"/>
        <w:jc w:val="both"/>
      </w:pPr>
      <w:r>
        <w:rPr>
          <w:sz w:val="20"/>
        </w:rPr>
        <w:t xml:space="preserve">47. Расчет индекса эффективности операционных расходов осуществляется по формуле:</w:t>
      </w:r>
    </w:p>
    <w:p>
      <w:pPr>
        <w:pStyle w:val="0"/>
        <w:jc w:val="both"/>
      </w:pPr>
      <w:r>
        <w:rPr>
          <w:sz w:val="20"/>
        </w:rPr>
      </w:r>
    </w:p>
    <w:p>
      <w:pPr>
        <w:pStyle w:val="0"/>
        <w:jc w:val="center"/>
      </w:pPr>
      <w:r>
        <w:rPr>
          <w:position w:val="-71"/>
        </w:rPr>
        <w:drawing>
          <wp:inline distT="0" distB="0" distL="0" distR="0">
            <wp:extent cx="5400675" cy="1038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5400675" cy="1038225"/>
                    </a:xfrm>
                    <a:prstGeom prst="rect">
                      <a:avLst/>
                    </a:prstGeom>
                    <a:noFill/>
                    <a:ln>
                      <a:noFill/>
                    </a:ln>
                  </pic:spPr>
                </pic:pic>
              </a:graphicData>
            </a:graphic>
          </wp:inline>
        </w:drawing>
      </w:r>
      <w:r>
        <w:rPr>
          <w:sz w:val="20"/>
        </w:rPr>
        <w:t xml:space="preserve"> (9)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58293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582930" cy="254000"/>
                    </a:xfrm>
                    <a:prstGeom prst="rect">
                      <a:avLst/>
                    </a:prstGeom>
                    <a:noFill/>
                    <a:ln>
                      <a:noFill/>
                    </a:ln>
                  </pic:spPr>
                </pic:pic>
              </a:graphicData>
            </a:graphic>
          </wp:inline>
        </w:drawing>
      </w:r>
      <w:r>
        <w:rPr>
          <w:sz w:val="20"/>
        </w:rPr>
        <w:t xml:space="preserve"> - индекс эффективности операционных расходов, определяемый по результатам сравнительного анализа расходов для j-й регулируемой организации, осуществляющей деятельность по транспортировке воды (сточных вод);</w:t>
      </w:r>
    </w:p>
    <w:p>
      <w:pPr>
        <w:pStyle w:val="0"/>
        <w:spacing w:before="200" w:lineRule="auto"/>
        <w:ind w:firstLine="540"/>
        <w:jc w:val="both"/>
      </w:pPr>
      <w:r>
        <w:rPr>
          <w:position w:val="-9"/>
        </w:rPr>
        <w:drawing>
          <wp:inline distT="0" distB="0" distL="0" distR="0">
            <wp:extent cx="1651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65100" cy="253365"/>
                    </a:xfrm>
                    <a:prstGeom prst="rect">
                      <a:avLst/>
                    </a:prstGeom>
                    <a:noFill/>
                    <a:ln>
                      <a:noFill/>
                    </a:ln>
                  </pic:spPr>
                </pic:pic>
              </a:graphicData>
            </a:graphic>
          </wp:inline>
        </w:drawing>
      </w:r>
      <w:r>
        <w:rPr>
          <w:sz w:val="20"/>
        </w:rPr>
        <w:t xml:space="preserve"> - коэффициент сопоставимости, учитывающий технические характеристики централизованной системы водоснабжения и (или) водоотведения j-ой регулируемой организации (в том числе протяженность централизованной системы водоснабжения и (или) водоотведения, диаметр трубопроводов, тип прокладки трубопроводов), определяемый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по стоимости строительства централизованной системы водоснабжения и (или) водоотведения,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pPr>
        <w:pStyle w:val="0"/>
        <w:spacing w:before="200" w:lineRule="auto"/>
        <w:ind w:firstLine="540"/>
        <w:jc w:val="both"/>
      </w:pPr>
      <w:r>
        <w:rPr>
          <w:position w:val="-9"/>
        </w:rPr>
        <w:drawing>
          <wp:inline distT="0" distB="0" distL="0" distR="0">
            <wp:extent cx="41338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413385" cy="253365"/>
                    </a:xfrm>
                    <a:prstGeom prst="rect">
                      <a:avLst/>
                    </a:prstGeom>
                    <a:noFill/>
                    <a:ln>
                      <a:noFill/>
                    </a:ln>
                  </pic:spPr>
                </pic:pic>
              </a:graphicData>
            </a:graphic>
          </wp:inline>
        </w:drawing>
      </w:r>
      <w:r>
        <w:rPr>
          <w:sz w:val="20"/>
        </w:rPr>
        <w:t xml:space="preserve"> - удельные операционные расходы j-ой регулируемой организации, осуществляющей деятельность по транспортировке воды (сточных вод), тыс. руб./км;</w:t>
      </w:r>
    </w:p>
    <w:p>
      <w:pPr>
        <w:pStyle w:val="0"/>
        <w:spacing w:before="200" w:lineRule="auto"/>
        <w:ind w:firstLine="540"/>
        <w:jc w:val="both"/>
      </w:pPr>
      <w:r>
        <w:rPr>
          <w:position w:val="-9"/>
        </w:rPr>
        <w:drawing>
          <wp:inline distT="0" distB="0" distL="0" distR="0">
            <wp:extent cx="4445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444500" cy="253365"/>
                    </a:xfrm>
                    <a:prstGeom prst="rect">
                      <a:avLst/>
                    </a:prstGeom>
                    <a:noFill/>
                    <a:ln>
                      <a:noFill/>
                    </a:ln>
                  </pic:spPr>
                </pic:pic>
              </a:graphicData>
            </a:graphic>
          </wp:inline>
        </w:drawing>
      </w:r>
      <w:r>
        <w:rPr>
          <w:sz w:val="20"/>
        </w:rPr>
        <w:t xml:space="preserve"> - удельные операционные расходы, определенные как средние для сравниваемых организаций, осуществляющих деятельность по транспортировке воды (сточных вод), тыс. руб./км.</w:t>
      </w:r>
    </w:p>
    <w:p>
      <w:pPr>
        <w:pStyle w:val="0"/>
        <w:spacing w:before="200" w:lineRule="auto"/>
        <w:ind w:firstLine="540"/>
        <w:jc w:val="both"/>
      </w:pPr>
      <w:r>
        <w:rPr>
          <w:sz w:val="20"/>
        </w:rPr>
        <w:t xml:space="preserve">48. Расходы на обслуживание бесхозяйных сетей не учитываются при определении операционных расходов и, в частности, индекса изменения количества активов. Такие расходы учитываются в составе неподконтрольных расходов.</w:t>
      </w:r>
    </w:p>
    <w:bookmarkStart w:id="387" w:name="P387"/>
    <w:bookmarkEnd w:id="387"/>
    <w:p>
      <w:pPr>
        <w:pStyle w:val="0"/>
        <w:spacing w:before="200" w:lineRule="auto"/>
        <w:ind w:firstLine="540"/>
        <w:jc w:val="both"/>
      </w:pPr>
      <w:r>
        <w:rPr>
          <w:sz w:val="20"/>
        </w:rPr>
        <w:t xml:space="preserve">49. Неподконтрольные расходы включают в себя:</w:t>
      </w:r>
    </w:p>
    <w:p>
      <w:pPr>
        <w:pStyle w:val="0"/>
        <w:spacing w:before="200" w:lineRule="auto"/>
        <w:ind w:firstLine="540"/>
        <w:jc w:val="both"/>
      </w:pPr>
      <w:r>
        <w:rPr>
          <w:sz w:val="20"/>
        </w:rPr>
        <w:t xml:space="preserve">1) расходы на оплату товаров (услуг, работ), приобретаемых у других организаций, осуществляющих регулируемые виды деятельности;</w:t>
      </w:r>
    </w:p>
    <w:p>
      <w:pPr>
        <w:pStyle w:val="0"/>
        <w:spacing w:before="200" w:lineRule="auto"/>
        <w:ind w:firstLine="540"/>
        <w:jc w:val="both"/>
      </w:pPr>
      <w:r>
        <w:rPr>
          <w:sz w:val="20"/>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bookmarkStart w:id="390" w:name="P390"/>
    <w:bookmarkEnd w:id="390"/>
    <w:p>
      <w:pPr>
        <w:pStyle w:val="0"/>
        <w:spacing w:before="200" w:lineRule="auto"/>
        <w:ind w:firstLine="540"/>
        <w:jc w:val="both"/>
      </w:pPr>
      <w:r>
        <w:rPr>
          <w:sz w:val="20"/>
        </w:rPr>
        <w:t xml:space="preserve">3) расходы на арендную плату и лизинговые платежи, размер которых определяется с учетом требований, предусмотренных </w:t>
      </w:r>
      <w:hyperlink w:history="0" w:anchor="P213" w:tooltip="29.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
        <w:r>
          <w:rPr>
            <w:sz w:val="20"/>
            <w:color w:val="0000ff"/>
          </w:rPr>
          <w:t xml:space="preserve">пунктом 29</w:t>
        </w:r>
      </w:hyperlink>
      <w:r>
        <w:rPr>
          <w:sz w:val="20"/>
        </w:rPr>
        <w:t xml:space="preserve"> настоящих Методических указаний;</w:t>
      </w:r>
    </w:p>
    <w:p>
      <w:pPr>
        <w:pStyle w:val="0"/>
        <w:jc w:val="both"/>
      </w:pPr>
      <w:r>
        <w:rPr>
          <w:sz w:val="20"/>
        </w:rPr>
        <w:t xml:space="preserve">(в ред. </w:t>
      </w:r>
      <w:hyperlink w:history="0" r:id="rId145"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Приказа</w:t>
        </w:r>
      </w:hyperlink>
      <w:r>
        <w:rPr>
          <w:sz w:val="20"/>
        </w:rPr>
        <w:t xml:space="preserve"> ФАС России от 30.06.2017 N 868/17)</w:t>
      </w:r>
    </w:p>
    <w:p>
      <w:pPr>
        <w:pStyle w:val="0"/>
        <w:spacing w:before="200" w:lineRule="auto"/>
        <w:ind w:firstLine="540"/>
        <w:jc w:val="both"/>
      </w:pPr>
      <w:r>
        <w:rPr>
          <w:sz w:val="20"/>
        </w:rPr>
        <w:t xml:space="preserve">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bookmarkStart w:id="393" w:name="P393"/>
    <w:bookmarkEnd w:id="393"/>
    <w:p>
      <w:pPr>
        <w:pStyle w:val="0"/>
        <w:spacing w:before="200" w:lineRule="auto"/>
        <w:ind w:firstLine="540"/>
        <w:jc w:val="both"/>
      </w:pPr>
      <w:r>
        <w:rPr>
          <w:sz w:val="20"/>
        </w:rPr>
        <w:t xml:space="preserve">5) экономию средств, достигнутую в результате снижения расходов предыдущего долгосрочного периода регулирования и рассчитанную в соответствии с </w:t>
      </w:r>
      <w:hyperlink w:history="0" w:anchor="P425" w:tooltip="53. Экономия средств, достигнутая регулируемой организацией в результате снижения расходов в предыдущий долгосрочный период регулирования, в том числе связанная с сокращением потерь воды при транспортировке, эксплуатации цифровой инфраструктуры в сфере водоснабжения и водоотведения,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
        <w:r>
          <w:rPr>
            <w:sz w:val="20"/>
            <w:color w:val="0000ff"/>
          </w:rPr>
          <w:t xml:space="preserve">пунктами 53</w:t>
        </w:r>
      </w:hyperlink>
      <w:r>
        <w:rPr>
          <w:sz w:val="20"/>
        </w:rPr>
        <w:t xml:space="preserve"> - </w:t>
      </w:r>
      <w:hyperlink w:history="0" w:anchor="P490" w:tooltip="60. Прирост экономии средств от снижения потребления энергетических ресурсов и холодной воды за прошедший год рассчитывается по формуле:">
        <w:r>
          <w:rPr>
            <w:sz w:val="20"/>
            <w:color w:val="0000ff"/>
          </w:rPr>
          <w:t xml:space="preserve">60</w:t>
        </w:r>
      </w:hyperlink>
      <w:r>
        <w:rPr>
          <w:sz w:val="20"/>
        </w:rPr>
        <w:t xml:space="preserve"> настоящих Методических указаний;</w:t>
      </w:r>
    </w:p>
    <w:p>
      <w:pPr>
        <w:pStyle w:val="0"/>
        <w:spacing w:before="200" w:lineRule="auto"/>
        <w:ind w:firstLine="540"/>
        <w:jc w:val="both"/>
      </w:pPr>
      <w:r>
        <w:rPr>
          <w:sz w:val="20"/>
        </w:rPr>
        <w:t xml:space="preserve">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bookmarkStart w:id="395" w:name="P395"/>
    <w:bookmarkEnd w:id="395"/>
    <w:p>
      <w:pPr>
        <w:pStyle w:val="0"/>
        <w:spacing w:before="200" w:lineRule="auto"/>
        <w:ind w:firstLine="540"/>
        <w:jc w:val="both"/>
      </w:pPr>
      <w:r>
        <w:rPr>
          <w:sz w:val="20"/>
        </w:rPr>
        <w:t xml:space="preserve">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pPr>
        <w:pStyle w:val="0"/>
        <w:spacing w:before="200" w:lineRule="auto"/>
        <w:ind w:firstLine="540"/>
        <w:jc w:val="both"/>
      </w:pPr>
      <w:r>
        <w:rPr>
          <w:sz w:val="20"/>
        </w:rPr>
        <w:t xml:space="preserve">8) расходы на концессионную плату;</w:t>
      </w:r>
    </w:p>
    <w:p>
      <w:pPr>
        <w:pStyle w:val="0"/>
        <w:jc w:val="both"/>
      </w:pPr>
      <w:r>
        <w:rPr>
          <w:sz w:val="20"/>
        </w:rPr>
        <w:t xml:space="preserve">(пп. 8 введен </w:t>
      </w:r>
      <w:hyperlink w:history="0" r:id="rId146"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Приказом</w:t>
        </w:r>
      </w:hyperlink>
      <w:r>
        <w:rPr>
          <w:sz w:val="20"/>
        </w:rPr>
        <w:t xml:space="preserve"> ФАС России от 30.06.2017 N 868/17)</w:t>
      </w:r>
    </w:p>
    <w:p>
      <w:pPr>
        <w:pStyle w:val="0"/>
        <w:spacing w:before="200" w:lineRule="auto"/>
        <w:ind w:firstLine="540"/>
        <w:jc w:val="both"/>
      </w:pPr>
      <w:r>
        <w:rPr>
          <w:sz w:val="20"/>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pPr>
        <w:pStyle w:val="0"/>
        <w:jc w:val="both"/>
      </w:pPr>
      <w:r>
        <w:rPr>
          <w:sz w:val="20"/>
        </w:rPr>
        <w:t xml:space="preserve">(пп. 9 введен </w:t>
      </w:r>
      <w:hyperlink w:history="0" r:id="rId147"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Приказом</w:t>
        </w:r>
      </w:hyperlink>
      <w:r>
        <w:rPr>
          <w:sz w:val="20"/>
        </w:rPr>
        <w:t xml:space="preserve"> ФАС России от 30.06.2017 N 868/17)</w:t>
      </w:r>
    </w:p>
    <w:bookmarkStart w:id="400" w:name="P400"/>
    <w:bookmarkEnd w:id="400"/>
    <w:p>
      <w:pPr>
        <w:pStyle w:val="0"/>
        <w:spacing w:before="200" w:lineRule="auto"/>
        <w:ind w:firstLine="540"/>
        <w:jc w:val="both"/>
      </w:pPr>
      <w:r>
        <w:rPr>
          <w:sz w:val="20"/>
        </w:rPr>
        <w:t xml:space="preserve">10) расходы на реагенты.</w:t>
      </w:r>
    </w:p>
    <w:p>
      <w:pPr>
        <w:pStyle w:val="0"/>
        <w:jc w:val="both"/>
      </w:pPr>
      <w:r>
        <w:rPr>
          <w:sz w:val="20"/>
        </w:rPr>
        <w:t xml:space="preserve">(пп. 10 введен </w:t>
      </w:r>
      <w:hyperlink w:history="0" r:id="rId148"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Приказом</w:t>
        </w:r>
      </w:hyperlink>
      <w:r>
        <w:rPr>
          <w:sz w:val="20"/>
        </w:rPr>
        <w:t xml:space="preserve"> ФАС России от 08.10.2020 N 976/20)</w:t>
      </w:r>
    </w:p>
    <w:p>
      <w:pPr>
        <w:pStyle w:val="0"/>
        <w:spacing w:before="200" w:lineRule="auto"/>
        <w:ind w:firstLine="540"/>
        <w:jc w:val="both"/>
      </w:pPr>
      <w:r>
        <w:rPr>
          <w:sz w:val="20"/>
        </w:rPr>
        <w:t xml:space="preserve">В составе расходов на уплату налогов, сборов и других обязательных платежей, включаемых в неподконтрольные расходы, не учитываются налоги и сборы с фонда оплаты труда, учитываемые в составе операционных расходов.</w:t>
      </w:r>
    </w:p>
    <w:p>
      <w:pPr>
        <w:pStyle w:val="0"/>
        <w:spacing w:before="200" w:lineRule="auto"/>
        <w:ind w:firstLine="540"/>
        <w:jc w:val="both"/>
      </w:pPr>
      <w:r>
        <w:rPr>
          <w:sz w:val="20"/>
        </w:rPr>
        <w:t xml:space="preserve">В случае, если регулируемая организация самостоятельно осуществляет производство (поставку) тепловой энергии и теплоносителя, расходы на тепловую энергию и теплоноситель определяются исходя из себестоимости производства регулируемой организацией тепловой энергии и теплоносителя в соответствии с </w:t>
      </w:r>
      <w:hyperlink w:history="0" w:anchor="P113" w:tooltip="15.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
        <w:r>
          <w:rPr>
            <w:sz w:val="20"/>
            <w:color w:val="0000ff"/>
          </w:rPr>
          <w:t xml:space="preserve">пунктами 15</w:t>
        </w:r>
      </w:hyperlink>
      <w:r>
        <w:rPr>
          <w:sz w:val="20"/>
        </w:rPr>
        <w:t xml:space="preserve"> - </w:t>
      </w:r>
      <w:hyperlink w:history="0" w:anchor="P240" w:tooltip="33.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и использует источники информации о ценах (тарифах) и расходах в соответствии с пунктами 22 - 23 Основ ценообразования, пунктом 16 настоящих Методических указаний.">
        <w:r>
          <w:rPr>
            <w:sz w:val="20"/>
            <w:color w:val="0000ff"/>
          </w:rPr>
          <w:t xml:space="preserve">33</w:t>
        </w:r>
      </w:hyperlink>
      <w:r>
        <w:rPr>
          <w:sz w:val="20"/>
        </w:rPr>
        <w:t xml:space="preserve"> настоящих Методических указаний.</w:t>
      </w:r>
    </w:p>
    <w:p>
      <w:pPr>
        <w:pStyle w:val="0"/>
        <w:spacing w:before="200" w:lineRule="auto"/>
        <w:ind w:firstLine="540"/>
        <w:jc w:val="both"/>
      </w:pPr>
      <w:r>
        <w:rPr>
          <w:sz w:val="20"/>
        </w:rPr>
        <w:t xml:space="preserve">50. Расходы на приобретение воды включают в себя расходы на приобретение питьевой воды, технической воды по тарифам на питьевую воду (питьевое водоснабжение), техническую воду у других регулируемых организаций, в частности, осуществляющих подъем воды и водоподготовку, а также расходы на оплату потерь воды при транспортировке (для регулируемых организаций, в отношении которых устанавливаются тарифы на транспортировку воды), рассчитываемые по формуле:</w:t>
      </w:r>
    </w:p>
    <w:p>
      <w:pPr>
        <w:pStyle w:val="0"/>
        <w:jc w:val="both"/>
      </w:pPr>
      <w:r>
        <w:rPr>
          <w:sz w:val="20"/>
        </w:rPr>
      </w:r>
    </w:p>
    <w:p>
      <w:pPr>
        <w:pStyle w:val="0"/>
        <w:jc w:val="center"/>
      </w:pPr>
      <w:r>
        <w:rPr>
          <w:position w:val="-9"/>
        </w:rPr>
        <w:drawing>
          <wp:inline distT="0" distB="0" distL="0" distR="0">
            <wp:extent cx="8128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812800" cy="253365"/>
                    </a:xfrm>
                    <a:prstGeom prst="rect">
                      <a:avLst/>
                    </a:prstGeom>
                    <a:noFill/>
                    <a:ln>
                      <a:noFill/>
                    </a:ln>
                  </pic:spPr>
                </pic:pic>
              </a:graphicData>
            </a:graphic>
          </wp:inline>
        </w:drawing>
      </w:r>
      <w:r>
        <w:rPr>
          <w:sz w:val="20"/>
        </w:rPr>
        <w:t xml:space="preserve">, (10)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расходы на оплату потерь воды, тыс. руб.;</w:t>
      </w:r>
    </w:p>
    <w:p>
      <w:pPr>
        <w:pStyle w:val="0"/>
        <w:spacing w:before="200" w:lineRule="auto"/>
        <w:ind w:firstLine="540"/>
        <w:jc w:val="both"/>
      </w:pPr>
      <w:r>
        <w:rPr>
          <w:position w:val="-9"/>
        </w:rPr>
        <w:drawing>
          <wp:inline distT="0" distB="0" distL="0" distR="0">
            <wp:extent cx="22225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222250" cy="253365"/>
                    </a:xfrm>
                    <a:prstGeom prst="rect">
                      <a:avLst/>
                    </a:prstGeom>
                    <a:noFill/>
                    <a:ln>
                      <a:noFill/>
                    </a:ln>
                  </pic:spPr>
                </pic:pic>
              </a:graphicData>
            </a:graphic>
          </wp:inline>
        </w:drawing>
      </w:r>
      <w:r>
        <w:rPr>
          <w:sz w:val="20"/>
        </w:rPr>
        <w:t xml:space="preserve"> - плановый объем потерь воды при транспортировке в году i, тыс. куб. м;</w:t>
      </w:r>
    </w:p>
    <w:p>
      <w:pPr>
        <w:pStyle w:val="0"/>
        <w:spacing w:before="200" w:lineRule="auto"/>
        <w:ind w:firstLine="540"/>
        <w:jc w:val="both"/>
      </w:pPr>
      <w:r>
        <w:rPr>
          <w:sz w:val="20"/>
        </w:rPr>
        <w:t xml:space="preserve">T - тариф на питьевую или техническую воду, руб./куб. м.</w:t>
      </w:r>
    </w:p>
    <w:bookmarkStart w:id="412" w:name="P412"/>
    <w:bookmarkEnd w:id="412"/>
    <w:p>
      <w:pPr>
        <w:pStyle w:val="0"/>
        <w:spacing w:before="200" w:lineRule="auto"/>
        <w:ind w:firstLine="540"/>
        <w:jc w:val="both"/>
      </w:pPr>
      <w:r>
        <w:rPr>
          <w:sz w:val="20"/>
        </w:rPr>
        <w:t xml:space="preserve">51. Расходы на арендную плату, концессионную плату и лизинговые платежи относятся к неподконтрольным, если договор аренды (лизинга, концессии) заключен в отношении централизованных систем водоснабжения или водоотведения, объектов и оборудования, используемых в этих системах, а также в случае аренды земельных участков, на которых расположены или осуществляется строительство объектов централизованных систем водоснабжения и водоотведения в сроки, определенные инвестиционной программой. В остальных случаях расходы на арендную плату, концессионную плату и лизинговые платежи включаются в состав операционных расходов.</w:t>
      </w:r>
    </w:p>
    <w:p>
      <w:pPr>
        <w:pStyle w:val="0"/>
        <w:spacing w:before="200" w:lineRule="auto"/>
        <w:ind w:firstLine="540"/>
        <w:jc w:val="both"/>
      </w:pPr>
      <w:r>
        <w:rPr>
          <w:sz w:val="20"/>
        </w:rPr>
        <w:t xml:space="preserve">52. В целях определения расходов по сомнительным долгам гарантирующая организация обязана осуществлять расчет объема питьевой воды, подаваемой населению на основании договоров водоснабжения, единых договоров холодного водоснабжения и водоотведения, информации об объемах отпуска воды, определенных по показаниям приборов учета воды, утвержденных нормативов потребления коммунальных услуг, а также выставленных регулируемой организацией счетов на оплату воды, оказанных услуг. Объем необходимой валовой выручки, относящейся к населению, определяется по формуле:</w:t>
      </w:r>
    </w:p>
    <w:p>
      <w:pPr>
        <w:pStyle w:val="0"/>
        <w:jc w:val="both"/>
      </w:pPr>
      <w:r>
        <w:rPr>
          <w:sz w:val="20"/>
        </w:rPr>
      </w:r>
    </w:p>
    <w:p>
      <w:pPr>
        <w:pStyle w:val="0"/>
        <w:jc w:val="center"/>
      </w:pPr>
      <w:r>
        <w:rPr>
          <w:position w:val="-25"/>
        </w:rPr>
        <w:drawing>
          <wp:inline distT="0" distB="0" distL="0" distR="0">
            <wp:extent cx="16129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1612900" cy="444500"/>
                    </a:xfrm>
                    <a:prstGeom prst="rect">
                      <a:avLst/>
                    </a:prstGeom>
                    <a:noFill/>
                    <a:ln>
                      <a:noFill/>
                    </a:ln>
                  </pic:spPr>
                </pic:pic>
              </a:graphicData>
            </a:graphic>
          </wp:inline>
        </w:drawing>
      </w:r>
      <w:r>
        <w:rPr>
          <w:sz w:val="20"/>
        </w:rPr>
        <w:t xml:space="preserve">, (11)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384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538480" cy="228600"/>
                    </a:xfrm>
                    <a:prstGeom prst="rect">
                      <a:avLst/>
                    </a:prstGeom>
                    <a:noFill/>
                    <a:ln>
                      <a:noFill/>
                    </a:ln>
                  </pic:spPr>
                </pic:pic>
              </a:graphicData>
            </a:graphic>
          </wp:inline>
        </w:drawing>
      </w:r>
      <w:r>
        <w:rPr>
          <w:sz w:val="20"/>
        </w:rPr>
        <w:t xml:space="preserve"> - необходимая валовая выручка, относящаяся к населению в году i, тыс. руб.;</w:t>
      </w:r>
    </w:p>
    <w:p>
      <w:pPr>
        <w:pStyle w:val="0"/>
        <w:spacing w:before="200" w:lineRule="auto"/>
        <w:ind w:firstLine="540"/>
        <w:jc w:val="both"/>
      </w:pPr>
      <w:r>
        <w:rPr>
          <w:position w:val="-8"/>
        </w:rPr>
        <w:drawing>
          <wp:inline distT="0" distB="0" distL="0" distR="0">
            <wp:extent cx="46164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461645" cy="228600"/>
                    </a:xfrm>
                    <a:prstGeom prst="rect">
                      <a:avLst/>
                    </a:prstGeom>
                    <a:noFill/>
                    <a:ln>
                      <a:noFill/>
                    </a:ln>
                  </pic:spPr>
                </pic:pic>
              </a:graphicData>
            </a:graphic>
          </wp:inline>
        </w:drawing>
      </w:r>
      <w:r>
        <w:rPr>
          <w:sz w:val="20"/>
        </w:rPr>
        <w:t xml:space="preserve"> - необходимая валовая выручка, относящаяся к питьевому водоснабжению или водоотведению соответственно в году i-2, тыс. руб.;</w:t>
      </w:r>
    </w:p>
    <w:p>
      <w:pPr>
        <w:pStyle w:val="0"/>
        <w:spacing w:before="200" w:lineRule="auto"/>
        <w:ind w:firstLine="540"/>
        <w:jc w:val="both"/>
      </w:pPr>
      <w:r>
        <w:rPr>
          <w:position w:val="-8"/>
        </w:rPr>
        <w:drawing>
          <wp:inline distT="0" distB="0" distL="0" distR="0">
            <wp:extent cx="292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a:ln>
                      <a:noFill/>
                    </a:ln>
                  </pic:spPr>
                </pic:pic>
              </a:graphicData>
            </a:graphic>
          </wp:inline>
        </w:drawing>
      </w:r>
      <w:r>
        <w:rPr>
          <w:sz w:val="20"/>
        </w:rPr>
        <w:t xml:space="preserve"> - объем воды, отпускаемый населению и приравненным к нему абонентам (сточных вод, принимаемых у населения и приравненных к нему абонентам), тыс. куб. м;</w:t>
      </w:r>
    </w:p>
    <w:p>
      <w:pPr>
        <w:pStyle w:val="0"/>
        <w:spacing w:before="200" w:lineRule="auto"/>
        <w:ind w:firstLine="540"/>
        <w:jc w:val="both"/>
      </w:pPr>
      <w:r>
        <w:rPr>
          <w:sz w:val="20"/>
        </w:rPr>
        <w:t xml:space="preserve">Q - объем воды, отпускаемый всем абонентам (сточных вод, принимаемых у всех абонентов), тыс. куб. м.</w:t>
      </w:r>
    </w:p>
    <w:p>
      <w:pPr>
        <w:pStyle w:val="0"/>
        <w:jc w:val="both"/>
      </w:pPr>
      <w:r>
        <w:rPr>
          <w:sz w:val="20"/>
        </w:rPr>
      </w:r>
    </w:p>
    <w:p>
      <w:pPr>
        <w:pStyle w:val="2"/>
        <w:outlineLvl w:val="2"/>
        <w:jc w:val="center"/>
      </w:pPr>
      <w:r>
        <w:rPr>
          <w:sz w:val="20"/>
        </w:rPr>
        <w:t xml:space="preserve">VI.II. Расчет экономии средств</w:t>
      </w:r>
    </w:p>
    <w:p>
      <w:pPr>
        <w:pStyle w:val="0"/>
        <w:jc w:val="both"/>
      </w:pPr>
      <w:r>
        <w:rPr>
          <w:sz w:val="20"/>
        </w:rPr>
      </w:r>
    </w:p>
    <w:bookmarkStart w:id="425" w:name="P425"/>
    <w:bookmarkEnd w:id="425"/>
    <w:p>
      <w:pPr>
        <w:pStyle w:val="0"/>
        <w:ind w:firstLine="540"/>
        <w:jc w:val="both"/>
      </w:pPr>
      <w:r>
        <w:rPr>
          <w:sz w:val="20"/>
        </w:rPr>
        <w:t xml:space="preserve">53. Экономия средств, достигнутая регулируемой организацией в результате снижения расходов в предыдущий долгосрочный период регулирования, в том числе связанная с сокращением потерь воды при транспортировке, эксплуатации цифровой инфраструктуры в сфере водоснабжения и водоотведения,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pPr>
        <w:pStyle w:val="0"/>
        <w:jc w:val="both"/>
      </w:pPr>
      <w:r>
        <w:rPr>
          <w:sz w:val="20"/>
        </w:rPr>
        <w:t xml:space="preserve">(в ред. </w:t>
      </w:r>
      <w:hyperlink w:history="0" r:id="rId156"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bookmarkStart w:id="427" w:name="P427"/>
    <w:bookmarkEnd w:id="427"/>
    <w:p>
      <w:pPr>
        <w:pStyle w:val="0"/>
        <w:spacing w:before="200" w:lineRule="auto"/>
        <w:ind w:firstLine="540"/>
        <w:jc w:val="both"/>
      </w:pPr>
      <w:r>
        <w:rPr>
          <w:sz w:val="20"/>
        </w:rPr>
        <w:t xml:space="preserve">54. Экономия средств, достигнутая регулируемой организацией в результате снижения расходов в каждом году долгосрочного периода регулирования (в том числе в результате эксплуатации цифровой инфраструктуры в сфере водоснабжения и водоотведения),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в соответствии с </w:t>
      </w:r>
      <w:hyperlink w:history="0" w:anchor="P387" w:tooltip="49. Неподконтрольные расходы включают в себя:">
        <w:r>
          <w:rPr>
            <w:sz w:val="20"/>
            <w:color w:val="0000ff"/>
          </w:rPr>
          <w:t xml:space="preserve">пунктом 49</w:t>
        </w:r>
      </w:hyperlink>
      <w:r>
        <w:rPr>
          <w:sz w:val="20"/>
        </w:rPr>
        <w:t xml:space="preserve"> настоящих Методических указаний.</w:t>
      </w:r>
    </w:p>
    <w:p>
      <w:pPr>
        <w:pStyle w:val="0"/>
        <w:jc w:val="both"/>
      </w:pPr>
      <w:r>
        <w:rPr>
          <w:sz w:val="20"/>
        </w:rPr>
        <w:t xml:space="preserve">(в ред. </w:t>
      </w:r>
      <w:hyperlink w:history="0" r:id="rId157"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sz w:val="20"/>
        </w:rPr>
        <w:t xml:space="preserve">55. При расчете тарифов на очередной долгосрочный период регулирования учитывается экономия средств от снижения потребления энергетических ресурсов, холодной воды, в том числе связанная с сокращением потерь воды при транспортировке, при условии что затраты на проведение мероприятий по его снижению не финансировались и не будут финансироваться за счет бюджетных средств.</w:t>
      </w:r>
    </w:p>
    <w:p>
      <w:pPr>
        <w:pStyle w:val="0"/>
        <w:spacing w:before="200" w:lineRule="auto"/>
        <w:ind w:firstLine="540"/>
        <w:jc w:val="both"/>
      </w:pPr>
      <w:r>
        <w:rPr>
          <w:sz w:val="20"/>
        </w:rPr>
        <w:t xml:space="preserve">Экономия средств, достигнутая в результате снижения операционных расходов, и экономия от снижения потребления энергетических ресурсов, холодной воды, сокращения потерь воды при транспортировке рассчитывается в соответствии с </w:t>
      </w:r>
      <w:hyperlink w:history="0" w:anchor="P8415" w:tooltip="Расчет экономии операционных расходов">
        <w:r>
          <w:rPr>
            <w:sz w:val="20"/>
            <w:color w:val="0000ff"/>
          </w:rPr>
          <w:t xml:space="preserve">Приложением 6.6</w:t>
        </w:r>
      </w:hyperlink>
      <w:r>
        <w:rPr>
          <w:sz w:val="20"/>
        </w:rPr>
        <w:t xml:space="preserve">, </w:t>
      </w:r>
      <w:hyperlink w:history="0" w:anchor="P8527" w:tooltip="Расчет">
        <w:r>
          <w:rPr>
            <w:sz w:val="20"/>
            <w:color w:val="0000ff"/>
          </w:rPr>
          <w:t xml:space="preserve">6.7</w:t>
        </w:r>
      </w:hyperlink>
      <w:r>
        <w:rPr>
          <w:sz w:val="20"/>
        </w:rPr>
        <w:t xml:space="preserve">, </w:t>
      </w:r>
      <w:hyperlink w:history="0" w:anchor="P8647" w:tooltip="Расчет">
        <w:r>
          <w:rPr>
            <w:sz w:val="20"/>
            <w:color w:val="0000ff"/>
          </w:rPr>
          <w:t xml:space="preserve">6.8</w:t>
        </w:r>
      </w:hyperlink>
      <w:r>
        <w:rPr>
          <w:sz w:val="20"/>
        </w:rPr>
        <w:t xml:space="preserve"> к настоящим Методическим указаниям.</w:t>
      </w:r>
    </w:p>
    <w:p>
      <w:pPr>
        <w:pStyle w:val="0"/>
        <w:spacing w:before="200" w:lineRule="auto"/>
        <w:ind w:firstLine="540"/>
        <w:jc w:val="both"/>
      </w:pPr>
      <w:r>
        <w:rPr>
          <w:sz w:val="20"/>
        </w:rPr>
        <w:t xml:space="preserve">При расчете тарифов учитывается экономия, связанная с созданием и (или) приобретением, эксплуатацией цифровой инфраструктуры в сфере водоснабжения и водоотведения, при условии, что затраты на проведение мероприятий, связанных с созданием и (или) приобретением, эксплуатацией цифровой инфраструктуры в сфере водоснабжения и водоотведения, не учтены и не будут учтены при установлении тарифов, не финансировались и не будут финансироваться за счет бюджетных средств, с учетом особенностей, предусмотренных </w:t>
      </w:r>
      <w:hyperlink w:history="0" w:anchor="P425" w:tooltip="53. Экономия средств, достигнутая регулируемой организацией в результате снижения расходов в предыдущий долгосрочный период регулирования, в том числе связанная с сокращением потерь воды при транспортировке, эксплуатации цифровой инфраструктуры в сфере водоснабжения и водоотведения,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
        <w:r>
          <w:rPr>
            <w:sz w:val="20"/>
            <w:color w:val="0000ff"/>
          </w:rPr>
          <w:t xml:space="preserve">пунктами 53</w:t>
        </w:r>
      </w:hyperlink>
      <w:r>
        <w:rPr>
          <w:sz w:val="20"/>
        </w:rPr>
        <w:t xml:space="preserve"> и </w:t>
      </w:r>
      <w:hyperlink w:history="0" w:anchor="P427" w:tooltip="54. Экономия средств, достигнутая регулируемой организацией в результате снижения расходов в каждом году долгосрочного периода регулирования (в том числе в результате эксплуатации цифровой инфраструктуры в сфере водоснабжения и водоотведе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
        <w:r>
          <w:rPr>
            <w:sz w:val="20"/>
            <w:color w:val="0000ff"/>
          </w:rPr>
          <w:t xml:space="preserve">54</w:t>
        </w:r>
      </w:hyperlink>
      <w:r>
        <w:rPr>
          <w:sz w:val="20"/>
        </w:rPr>
        <w:t xml:space="preserve"> Методических указаний.</w:t>
      </w:r>
    </w:p>
    <w:p>
      <w:pPr>
        <w:pStyle w:val="0"/>
        <w:jc w:val="both"/>
      </w:pPr>
      <w:r>
        <w:rPr>
          <w:sz w:val="20"/>
        </w:rPr>
        <w:t xml:space="preserve">(абзац введен </w:t>
      </w:r>
      <w:hyperlink w:history="0" r:id="rId158"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Приказом</w:t>
        </w:r>
      </w:hyperlink>
      <w:r>
        <w:rPr>
          <w:sz w:val="20"/>
        </w:rPr>
        <w:t xml:space="preserve"> ФАС России от 15.07.2024 N 473/24)</w:t>
      </w:r>
    </w:p>
    <w:bookmarkStart w:id="433" w:name="P433"/>
    <w:bookmarkEnd w:id="433"/>
    <w:p>
      <w:pPr>
        <w:pStyle w:val="0"/>
        <w:spacing w:before="200" w:lineRule="auto"/>
        <w:ind w:firstLine="540"/>
        <w:jc w:val="both"/>
      </w:pPr>
      <w:r>
        <w:rPr>
          <w:sz w:val="20"/>
        </w:rPr>
        <w:t xml:space="preserve">56. Экономия средств, достигнутая в результате снижения расходов предыдущего долгосрочного периода регулирования (в том числе в результате эксплуатации цифровой инфраструктуры в сфере водоснабжения и водоотведения), включается в неподконтрольные расходы и учитывается в составе необходимой валовой выручки в течение очередного долгосрочного периода регулирования, в размере, определенном по формуле:</w:t>
      </w:r>
    </w:p>
    <w:p>
      <w:pPr>
        <w:pStyle w:val="0"/>
        <w:jc w:val="both"/>
      </w:pPr>
      <w:r>
        <w:rPr>
          <w:sz w:val="20"/>
        </w:rPr>
        <w:t xml:space="preserve">(в ред. </w:t>
      </w:r>
      <w:hyperlink w:history="0" r:id="rId159"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jc w:val="both"/>
      </w:pPr>
      <w:r>
        <w:rPr>
          <w:sz w:val="20"/>
        </w:rPr>
      </w:r>
    </w:p>
    <w:bookmarkStart w:id="436" w:name="P436"/>
    <w:bookmarkEnd w:id="436"/>
    <w:p>
      <w:pPr>
        <w:pStyle w:val="0"/>
        <w:jc w:val="center"/>
      </w:pPr>
      <w:r>
        <w:rPr>
          <w:position w:val="-25"/>
        </w:rPr>
        <w:drawing>
          <wp:inline distT="0" distB="0" distL="0" distR="0">
            <wp:extent cx="22860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2286000" cy="444500"/>
                    </a:xfrm>
                    <a:prstGeom prst="rect">
                      <a:avLst/>
                    </a:prstGeom>
                    <a:noFill/>
                    <a:ln>
                      <a:noFill/>
                    </a:ln>
                  </pic:spPr>
                </pic:pic>
              </a:graphicData>
            </a:graphic>
          </wp:inline>
        </w:drawing>
      </w:r>
      <w:r>
        <w:rPr>
          <w:sz w:val="20"/>
        </w:rPr>
        <w:t xml:space="preserve">, (12)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ЭК - экономия расходов, включаемая в необходимую валовую выручку в течение очередного долгосрочного периода регулирования, тыс. руб.;</w:t>
      </w:r>
    </w:p>
    <w:p>
      <w:pPr>
        <w:pStyle w:val="0"/>
        <w:spacing w:before="200" w:lineRule="auto"/>
        <w:ind w:firstLine="540"/>
        <w:jc w:val="both"/>
      </w:pPr>
      <w:r>
        <w:rPr>
          <w:sz w:val="20"/>
        </w:rPr>
        <w:t xml:space="preserve">ЭОР - экономия операционных расходов, достигнутая в предыдущем долгосрочном периоде регулирования, определенная в соответствии с </w:t>
      </w:r>
      <w:hyperlink w:history="0" w:anchor="P444" w:tooltip="57. Экономия операционных расходов, учитываемая в очередном долгосрочном периоде регулирования, рассчитывается по формулам:">
        <w:r>
          <w:rPr>
            <w:sz w:val="20"/>
            <w:color w:val="0000ff"/>
          </w:rPr>
          <w:t xml:space="preserve">пунктом 57</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ЭП - экономия средств от снижения потребления энергетических ресурсов и холодной воды, в том числе сокращения потерь воды при транспортировке, достигнутая в предыдущем долгосрочном периоде регулирования, определенная в соответствии с </w:t>
      </w:r>
      <w:hyperlink w:history="0" w:anchor="P460" w:tooltip="58. Экономия средств от снижения потребления энергетических ресурсов и холодной воды, в том числе сокращения потерь воды при транспортировке, учитываемая в очередном долгосрочном периоде регулирования, рассчитывается по формулам:">
        <w:r>
          <w:rPr>
            <w:sz w:val="20"/>
            <w:color w:val="0000ff"/>
          </w:rPr>
          <w:t xml:space="preserve">пунктом 58</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i0 - первый год очередного долгосрочного периода регулирования;</w:t>
      </w:r>
    </w:p>
    <w:p>
      <w:pPr>
        <w:pStyle w:val="0"/>
        <w:spacing w:before="200" w:lineRule="auto"/>
        <w:ind w:firstLine="540"/>
        <w:jc w:val="both"/>
      </w:pPr>
      <w:r>
        <w:rPr>
          <w:position w:val="-9"/>
        </w:rPr>
        <w:drawing>
          <wp:inline distT="0" distB="0" distL="0" distR="0">
            <wp:extent cx="42735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427355" cy="253365"/>
                    </a:xfrm>
                    <a:prstGeom prst="rect">
                      <a:avLst/>
                    </a:prstGeom>
                    <a:noFill/>
                    <a:ln>
                      <a:noFill/>
                    </a:ln>
                  </pic:spPr>
                </pic:pic>
              </a:graphicData>
            </a:graphic>
          </wp:inline>
        </w:drawing>
      </w:r>
      <w:r>
        <w:rPr>
          <w:sz w:val="20"/>
        </w:rPr>
        <w:t xml:space="preserve"> - значение индекса потребительских цен в j-м году.</w:t>
      </w:r>
    </w:p>
    <w:bookmarkStart w:id="444" w:name="P444"/>
    <w:bookmarkEnd w:id="444"/>
    <w:p>
      <w:pPr>
        <w:pStyle w:val="0"/>
        <w:spacing w:before="200" w:lineRule="auto"/>
        <w:ind w:firstLine="540"/>
        <w:jc w:val="both"/>
      </w:pPr>
      <w:r>
        <w:rPr>
          <w:sz w:val="20"/>
        </w:rPr>
        <w:t xml:space="preserve">57. Экономия операционных расходов, учитываемая в очередном долгосрочном периоде регулирования, рассчитывается по формулам:</w:t>
      </w:r>
    </w:p>
    <w:p>
      <w:pPr>
        <w:pStyle w:val="0"/>
        <w:spacing w:before="200" w:lineRule="auto"/>
        <w:ind w:firstLine="540"/>
        <w:jc w:val="both"/>
      </w:pPr>
      <w:r>
        <w:rPr>
          <w:sz w:val="20"/>
        </w:rPr>
        <w:t xml:space="preserve">Для первого года очередного долгосрочного периода регулирования:</w:t>
      </w:r>
    </w:p>
    <w:p>
      <w:pPr>
        <w:pStyle w:val="0"/>
        <w:jc w:val="both"/>
      </w:pPr>
      <w:r>
        <w:rPr>
          <w:sz w:val="20"/>
        </w:rPr>
      </w:r>
    </w:p>
    <w:p>
      <w:pPr>
        <w:pStyle w:val="0"/>
        <w:jc w:val="center"/>
      </w:pPr>
      <w:r>
        <w:rPr>
          <w:position w:val="-55"/>
        </w:rPr>
        <w:drawing>
          <wp:inline distT="0" distB="0" distL="0" distR="0">
            <wp:extent cx="5083810" cy="836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5083810" cy="836930"/>
                    </a:xfrm>
                    <a:prstGeom prst="rect">
                      <a:avLst/>
                    </a:prstGeom>
                    <a:noFill/>
                    <a:ln>
                      <a:noFill/>
                    </a:ln>
                  </pic:spPr>
                </pic:pic>
              </a:graphicData>
            </a:graphic>
          </wp:inline>
        </w:drawing>
      </w:r>
      <w:r>
        <w:rPr>
          <w:sz w:val="20"/>
        </w:rPr>
        <w:t xml:space="preserve">, (13)</w:t>
      </w:r>
    </w:p>
    <w:p>
      <w:pPr>
        <w:pStyle w:val="0"/>
        <w:jc w:val="both"/>
      </w:pPr>
      <w:r>
        <w:rPr>
          <w:sz w:val="20"/>
        </w:rPr>
      </w:r>
    </w:p>
    <w:p>
      <w:pPr>
        <w:pStyle w:val="0"/>
        <w:ind w:firstLine="540"/>
        <w:jc w:val="both"/>
      </w:pPr>
      <w:r>
        <w:rPr>
          <w:sz w:val="20"/>
        </w:rPr>
        <w:t xml:space="preserve">Для второго и последующих годов очередного долгосрочного периода регулирования:</w:t>
      </w:r>
    </w:p>
    <w:p>
      <w:pPr>
        <w:pStyle w:val="0"/>
        <w:jc w:val="both"/>
      </w:pPr>
      <w:r>
        <w:rPr>
          <w:sz w:val="20"/>
        </w:rPr>
      </w:r>
    </w:p>
    <w:p>
      <w:pPr>
        <w:pStyle w:val="0"/>
        <w:jc w:val="center"/>
      </w:pPr>
      <w:r>
        <w:rPr>
          <w:position w:val="-22"/>
        </w:rPr>
        <w:drawing>
          <wp:inline distT="0" distB="0" distL="0" distR="0">
            <wp:extent cx="1917065" cy="413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917065" cy="413385"/>
                    </a:xfrm>
                    <a:prstGeom prst="rect">
                      <a:avLst/>
                    </a:prstGeom>
                    <a:noFill/>
                    <a:ln>
                      <a:noFill/>
                    </a:ln>
                  </pic:spPr>
                </pic:pic>
              </a:graphicData>
            </a:graphic>
          </wp:inline>
        </w:drawing>
      </w:r>
      <w:r>
        <w:rPr>
          <w:sz w:val="20"/>
        </w:rPr>
        <w:t xml:space="preserve">, (13.1)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i1 - последний год текущего долгосрочного периода регулирования;</w:t>
      </w:r>
    </w:p>
    <w:p>
      <w:pPr>
        <w:pStyle w:val="0"/>
        <w:spacing w:before="200" w:lineRule="auto"/>
        <w:ind w:firstLine="540"/>
        <w:jc w:val="both"/>
      </w:pPr>
      <w:r>
        <w:rPr>
          <w:sz w:val="20"/>
        </w:rPr>
        <w:t xml:space="preserve">ЭОР(1) - экономия операционных расходов, учитываемая в первом году очередного долгосрочного периода регулирования, тыс. руб. Рассчитывается в ценах года i1. Величина экономии принимается равной нулю, если расчет дает отрицательное значение;</w:t>
      </w:r>
    </w:p>
    <w:p>
      <w:pPr>
        <w:pStyle w:val="0"/>
        <w:spacing w:before="200" w:lineRule="auto"/>
        <w:ind w:firstLine="540"/>
        <w:jc w:val="both"/>
      </w:pPr>
      <w:r>
        <w:rPr>
          <w:sz w:val="20"/>
        </w:rPr>
        <w:t xml:space="preserve">ЭОР - экономия операционных расходов, учитываемая во втором и последующих годах очередного долгосрочного периода регулирования, тыс. руб. Рассчитывается в ценах года i1. Величина экономии принимается равной нулю, если расчет дает отрицательное значение;</w:t>
      </w:r>
    </w:p>
    <w:p>
      <w:pPr>
        <w:pStyle w:val="0"/>
        <w:spacing w:before="200" w:lineRule="auto"/>
        <w:ind w:firstLine="540"/>
        <w:jc w:val="both"/>
      </w:pPr>
      <w:r>
        <w:rPr>
          <w:position w:val="-8"/>
        </w:rPr>
        <w:drawing>
          <wp:inline distT="0" distB="0" distL="0" distR="0">
            <wp:extent cx="4699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469900" cy="228600"/>
                    </a:xfrm>
                    <a:prstGeom prst="rect">
                      <a:avLst/>
                    </a:prstGeom>
                    <a:noFill/>
                    <a:ln>
                      <a:noFill/>
                    </a:ln>
                  </pic:spPr>
                </pic:pic>
              </a:graphicData>
            </a:graphic>
          </wp:inline>
        </w:drawing>
      </w:r>
      <w:r>
        <w:rPr>
          <w:sz w:val="20"/>
        </w:rPr>
        <w:t xml:space="preserve"> - прирост экономии операционных расходов в i-м году по сравнению с годом i-1. В случае если продолжительность долгосрочного периода регулирования составляет 3 года значение величины </w:t>
      </w:r>
      <w:r>
        <w:rPr>
          <w:position w:val="-8"/>
        </w:rPr>
        <w:drawing>
          <wp:inline distT="0" distB="0" distL="0" distR="0">
            <wp:extent cx="5784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578485" cy="228600"/>
                    </a:xfrm>
                    <a:prstGeom prst="rect">
                      <a:avLst/>
                    </a:prstGeom>
                    <a:noFill/>
                    <a:ln>
                      <a:noFill/>
                    </a:ln>
                  </pic:spPr>
                </pic:pic>
              </a:graphicData>
            </a:graphic>
          </wp:inline>
        </w:drawing>
      </w:r>
      <w:r>
        <w:rPr>
          <w:sz w:val="20"/>
        </w:rPr>
        <w:t xml:space="preserve"> принимается равным нулю;</w:t>
      </w:r>
    </w:p>
    <w:p>
      <w:pPr>
        <w:pStyle w:val="0"/>
        <w:spacing w:before="200" w:lineRule="auto"/>
        <w:ind w:firstLine="540"/>
        <w:jc w:val="both"/>
      </w:pPr>
      <w:r>
        <w:rPr>
          <w:position w:val="-8"/>
        </w:rPr>
        <w:drawing>
          <wp:inline distT="0" distB="0" distL="0" distR="0">
            <wp:extent cx="46164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461645" cy="228600"/>
                    </a:xfrm>
                    <a:prstGeom prst="rect">
                      <a:avLst/>
                    </a:prstGeom>
                    <a:noFill/>
                    <a:ln>
                      <a:noFill/>
                    </a:ln>
                  </pic:spPr>
                </pic:pic>
              </a:graphicData>
            </a:graphic>
          </wp:inline>
        </w:drawing>
      </w:r>
      <w:r>
        <w:rPr>
          <w:sz w:val="20"/>
        </w:rPr>
        <w:t xml:space="preserve"> - значение индекса потребительских цен в i1 году (в среднем за год к предыдущему году), определенное на основании параметров прогноза социально-экономического развития Российской Федерации;</w:t>
      </w:r>
    </w:p>
    <w:p>
      <w:pPr>
        <w:pStyle w:val="0"/>
        <w:spacing w:before="200" w:lineRule="auto"/>
        <w:ind w:firstLine="540"/>
        <w:jc w:val="both"/>
      </w:pPr>
      <w:r>
        <w:rPr>
          <w:position w:val="-8"/>
        </w:rPr>
        <w:drawing>
          <wp:inline distT="0" distB="0" distL="0" distR="0">
            <wp:extent cx="5384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538480" cy="228600"/>
                    </a:xfrm>
                    <a:prstGeom prst="rect">
                      <a:avLst/>
                    </a:prstGeom>
                    <a:noFill/>
                    <a:ln>
                      <a:noFill/>
                    </a:ln>
                  </pic:spPr>
                </pic:pic>
              </a:graphicData>
            </a:graphic>
          </wp:inline>
        </w:drawing>
      </w:r>
      <w:r>
        <w:rPr>
          <w:sz w:val="20"/>
        </w:rPr>
        <w:t xml:space="preserve">, </w:t>
      </w:r>
      <w:r>
        <w:rPr>
          <w:position w:val="-8"/>
        </w:rPr>
        <w:drawing>
          <wp:inline distT="0" distB="0" distL="0" distR="0">
            <wp:extent cx="5384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538480" cy="228600"/>
                    </a:xfrm>
                    <a:prstGeom prst="rect">
                      <a:avLst/>
                    </a:prstGeom>
                    <a:noFill/>
                    <a:ln>
                      <a:noFill/>
                    </a:ln>
                  </pic:spPr>
                </pic:pic>
              </a:graphicData>
            </a:graphic>
          </wp:inline>
        </w:drawing>
      </w:r>
      <w:r>
        <w:rPr>
          <w:sz w:val="20"/>
        </w:rPr>
        <w:t xml:space="preserve"> - фактические значения индекса потребительских цен (в среднем за год к предыдущему году) в годах i1-1, i1-2 соответственно.</w:t>
      </w:r>
    </w:p>
    <w:bookmarkStart w:id="460" w:name="P460"/>
    <w:bookmarkEnd w:id="460"/>
    <w:p>
      <w:pPr>
        <w:pStyle w:val="0"/>
        <w:spacing w:before="200" w:lineRule="auto"/>
        <w:ind w:firstLine="540"/>
        <w:jc w:val="both"/>
      </w:pPr>
      <w:r>
        <w:rPr>
          <w:sz w:val="20"/>
        </w:rPr>
        <w:t xml:space="preserve">58. Экономия средств от снижения потребления энергетических ресурсов и холодной воды, в том числе сокращения потерь воды при транспортировке, учитываемая в очередном долгосрочном периоде регулирования, рассчитывается по формулам:</w:t>
      </w:r>
    </w:p>
    <w:p>
      <w:pPr>
        <w:pStyle w:val="0"/>
        <w:spacing w:before="200" w:lineRule="auto"/>
        <w:ind w:firstLine="540"/>
        <w:jc w:val="both"/>
      </w:pPr>
      <w:r>
        <w:rPr>
          <w:sz w:val="20"/>
        </w:rPr>
        <w:t xml:space="preserve">Для первого года очередного долгосрочного периода регулирования:</w:t>
      </w:r>
    </w:p>
    <w:p>
      <w:pPr>
        <w:pStyle w:val="0"/>
        <w:jc w:val="both"/>
      </w:pPr>
      <w:r>
        <w:rPr>
          <w:sz w:val="20"/>
        </w:rPr>
      </w:r>
    </w:p>
    <w:p>
      <w:pPr>
        <w:pStyle w:val="0"/>
        <w:jc w:val="center"/>
      </w:pPr>
      <w:r>
        <w:rPr>
          <w:position w:val="-53"/>
        </w:rPr>
        <w:drawing>
          <wp:inline distT="0" distB="0" distL="0" distR="0">
            <wp:extent cx="6210300" cy="801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6210300" cy="801370"/>
                    </a:xfrm>
                    <a:prstGeom prst="rect">
                      <a:avLst/>
                    </a:prstGeom>
                    <a:noFill/>
                    <a:ln>
                      <a:noFill/>
                    </a:ln>
                  </pic:spPr>
                </pic:pic>
              </a:graphicData>
            </a:graphic>
          </wp:inline>
        </w:drawing>
      </w:r>
      <w:r>
        <w:rPr>
          <w:sz w:val="20"/>
        </w:rPr>
        <w:t xml:space="preserve">, (14)</w:t>
      </w:r>
    </w:p>
    <w:p>
      <w:pPr>
        <w:pStyle w:val="0"/>
        <w:jc w:val="both"/>
      </w:pPr>
      <w:r>
        <w:rPr>
          <w:sz w:val="20"/>
        </w:rPr>
      </w:r>
    </w:p>
    <w:p>
      <w:pPr>
        <w:pStyle w:val="0"/>
        <w:ind w:firstLine="540"/>
        <w:jc w:val="both"/>
      </w:pPr>
      <w:r>
        <w:rPr>
          <w:sz w:val="20"/>
        </w:rPr>
        <w:t xml:space="preserve">Для второго и последующих годов очередного долгосрочного периода регулирования:</w:t>
      </w:r>
    </w:p>
    <w:p>
      <w:pPr>
        <w:pStyle w:val="0"/>
        <w:jc w:val="both"/>
      </w:pPr>
      <w:r>
        <w:rPr>
          <w:sz w:val="20"/>
        </w:rPr>
      </w:r>
    </w:p>
    <w:p>
      <w:pPr>
        <w:pStyle w:val="0"/>
        <w:jc w:val="center"/>
      </w:pPr>
      <w:r>
        <w:rPr>
          <w:position w:val="-22"/>
        </w:rPr>
        <w:drawing>
          <wp:inline distT="0" distB="0" distL="0" distR="0">
            <wp:extent cx="1663700" cy="413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1663700" cy="413385"/>
                    </a:xfrm>
                    <a:prstGeom prst="rect">
                      <a:avLst/>
                    </a:prstGeom>
                    <a:noFill/>
                    <a:ln>
                      <a:noFill/>
                    </a:ln>
                  </pic:spPr>
                </pic:pic>
              </a:graphicData>
            </a:graphic>
          </wp:inline>
        </w:drawing>
      </w:r>
      <w:r>
        <w:rPr>
          <w:sz w:val="20"/>
        </w:rPr>
        <w:t xml:space="preserve">, (14.1)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i1 - последний год текущего долгосрочного периода регулирования, за который имеются фактические данные;</w:t>
      </w:r>
    </w:p>
    <w:p>
      <w:pPr>
        <w:pStyle w:val="0"/>
        <w:spacing w:before="200" w:lineRule="auto"/>
        <w:ind w:firstLine="540"/>
        <w:jc w:val="both"/>
      </w:pPr>
      <w:r>
        <w:rPr>
          <w:sz w:val="20"/>
        </w:rPr>
        <w:t xml:space="preserve">ЭП(1) - экономия расходов от снижения потребления энергетических ресурсов и холодной воды, в том числе сокращения потерь воды при транспортировке, учитываемая в первом году очередного долгосрочного периода регулирования, рассчитанная в ценах года i1, тыс. руб. Величина экономии принимается равной нулю, если расчет дает отрицательное значение;</w:t>
      </w:r>
    </w:p>
    <w:p>
      <w:pPr>
        <w:pStyle w:val="0"/>
        <w:spacing w:before="200" w:lineRule="auto"/>
        <w:ind w:firstLine="540"/>
        <w:jc w:val="both"/>
      </w:pPr>
      <w:r>
        <w:rPr>
          <w:sz w:val="20"/>
        </w:rPr>
        <w:t xml:space="preserve">ЭП - экономия расходов от снижения потребления энергетических ресурсов и холодной воды, в том числе сокращения потерь воды при транспортировке, учитываемая во втором и последующих годах очередного долгосрочного периода регулирования, рассчитанная в ценах года i1, тыс. руб. Величина экономии принимается равной нулю, если расчет дает отрицательное значение;</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прирост экономии от снижения потребления энергетических ресурсов и холодной воды, в том числе сокращения потерь воды при транспортировке, в i-м году по сравнению с годом i-1, определяемый в соответствии с </w:t>
      </w:r>
      <w:hyperlink w:history="0" w:anchor="P490" w:tooltip="60. Прирост экономии средств от снижения потребления энергетических ресурсов и холодной воды за прошедший год рассчитывается по формуле:">
        <w:r>
          <w:rPr>
            <w:sz w:val="20"/>
            <w:color w:val="0000ff"/>
          </w:rPr>
          <w:t xml:space="preserve">пунктом 60</w:t>
        </w:r>
      </w:hyperlink>
      <w:r>
        <w:rPr>
          <w:sz w:val="20"/>
        </w:rPr>
        <w:t xml:space="preserve"> настоящих Методических указаний, тыс. руб. В случае если продолжительность долгосрочного периода регулирования составляет 3 года, значение величины </w:t>
      </w:r>
      <w:r>
        <w:rPr>
          <w:position w:val="-8"/>
        </w:rPr>
        <w:drawing>
          <wp:inline distT="0" distB="0" distL="0" distR="0">
            <wp:extent cx="4756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475615" cy="228600"/>
                    </a:xfrm>
                    <a:prstGeom prst="rect">
                      <a:avLst/>
                    </a:prstGeom>
                    <a:noFill/>
                    <a:ln>
                      <a:noFill/>
                    </a:ln>
                  </pic:spPr>
                </pic:pic>
              </a:graphicData>
            </a:graphic>
          </wp:inline>
        </w:drawing>
      </w:r>
      <w:r>
        <w:rPr>
          <w:sz w:val="20"/>
        </w:rPr>
        <w:t xml:space="preserve"> принимается равным нулю;</w:t>
      </w:r>
    </w:p>
    <w:p>
      <w:pPr>
        <w:pStyle w:val="0"/>
        <w:spacing w:before="200" w:lineRule="auto"/>
        <w:ind w:firstLine="540"/>
        <w:jc w:val="both"/>
      </w:pPr>
      <w:r>
        <w:rPr>
          <w:position w:val="-8"/>
        </w:rPr>
        <w:drawing>
          <wp:inline distT="0" distB="0" distL="0" distR="0">
            <wp:extent cx="46164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461645" cy="228600"/>
                    </a:xfrm>
                    <a:prstGeom prst="rect">
                      <a:avLst/>
                    </a:prstGeom>
                    <a:noFill/>
                    <a:ln>
                      <a:noFill/>
                    </a:ln>
                  </pic:spPr>
                </pic:pic>
              </a:graphicData>
            </a:graphic>
          </wp:inline>
        </w:drawing>
      </w:r>
      <w:r>
        <w:rPr>
          <w:sz w:val="20"/>
        </w:rPr>
        <w:t xml:space="preserve"> - значение индекса потребительских цен в i1 году (в среднем за год к предыдущему году), определенное на основании параметров прогноза социально-экономического развития Российской Федерации;</w:t>
      </w:r>
    </w:p>
    <w:p>
      <w:pPr>
        <w:pStyle w:val="0"/>
        <w:spacing w:before="200" w:lineRule="auto"/>
        <w:ind w:firstLine="540"/>
        <w:jc w:val="both"/>
      </w:pPr>
      <w:r>
        <w:rPr>
          <w:position w:val="-8"/>
        </w:rPr>
        <w:drawing>
          <wp:inline distT="0" distB="0" distL="0" distR="0">
            <wp:extent cx="5384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538480" cy="228600"/>
                    </a:xfrm>
                    <a:prstGeom prst="rect">
                      <a:avLst/>
                    </a:prstGeom>
                    <a:noFill/>
                    <a:ln>
                      <a:noFill/>
                    </a:ln>
                  </pic:spPr>
                </pic:pic>
              </a:graphicData>
            </a:graphic>
          </wp:inline>
        </w:drawing>
      </w:r>
      <w:r>
        <w:rPr>
          <w:sz w:val="20"/>
        </w:rPr>
        <w:t xml:space="preserve">, </w:t>
      </w:r>
      <w:r>
        <w:rPr>
          <w:position w:val="-8"/>
        </w:rPr>
        <w:drawing>
          <wp:inline distT="0" distB="0" distL="0" distR="0">
            <wp:extent cx="5384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538480" cy="228600"/>
                    </a:xfrm>
                    <a:prstGeom prst="rect">
                      <a:avLst/>
                    </a:prstGeom>
                    <a:noFill/>
                    <a:ln>
                      <a:noFill/>
                    </a:ln>
                  </pic:spPr>
                </pic:pic>
              </a:graphicData>
            </a:graphic>
          </wp:inline>
        </w:drawing>
      </w:r>
      <w:r>
        <w:rPr>
          <w:sz w:val="20"/>
        </w:rPr>
        <w:t xml:space="preserve"> - фактические значения индекса потребительских цен (в среднем за год к предыдущему году) в годах i1-1, i1-2 соответственно.</w:t>
      </w:r>
    </w:p>
    <w:p>
      <w:pPr>
        <w:pStyle w:val="0"/>
        <w:spacing w:before="200" w:lineRule="auto"/>
        <w:ind w:firstLine="540"/>
        <w:jc w:val="both"/>
      </w:pPr>
      <w:r>
        <w:rPr>
          <w:sz w:val="20"/>
        </w:rPr>
        <w:t xml:space="preserve">Прирост экономии от снижения потребления энергетических ресурсов и воды в последний год долгосрочного периода регулирования учитывается в объеме, прогнозируемом регулирующим органом с учетом данных, предоставленных регулируемой организацией.</w:t>
      </w:r>
    </w:p>
    <w:p>
      <w:pPr>
        <w:pStyle w:val="0"/>
        <w:spacing w:before="200" w:lineRule="auto"/>
        <w:ind w:firstLine="540"/>
        <w:jc w:val="both"/>
      </w:pPr>
      <w:r>
        <w:rPr>
          <w:sz w:val="20"/>
        </w:rPr>
        <w:t xml:space="preserve">59. Прирост экономии операционных расходов за прошедший год рассчитывается по формулам:</w:t>
      </w:r>
    </w:p>
    <w:p>
      <w:pPr>
        <w:pStyle w:val="0"/>
        <w:jc w:val="both"/>
      </w:pPr>
      <w:r>
        <w:rPr>
          <w:sz w:val="20"/>
        </w:rPr>
      </w:r>
    </w:p>
    <w:p>
      <w:pPr>
        <w:pStyle w:val="0"/>
        <w:jc w:val="center"/>
      </w:pPr>
      <w:r>
        <w:rPr>
          <w:position w:val="-9"/>
        </w:rPr>
        <w:drawing>
          <wp:inline distT="0" distB="0" distL="0" distR="0">
            <wp:extent cx="59690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5969000" cy="253365"/>
                    </a:xfrm>
                    <a:prstGeom prst="rect">
                      <a:avLst/>
                    </a:prstGeom>
                    <a:noFill/>
                    <a:ln>
                      <a:noFill/>
                    </a:ln>
                  </pic:spPr>
                </pic:pic>
              </a:graphicData>
            </a:graphic>
          </wp:inline>
        </w:drawing>
      </w:r>
      <w:r>
        <w:rPr>
          <w:sz w:val="20"/>
        </w:rPr>
        <w:t xml:space="preserve">, (15)</w:t>
      </w:r>
    </w:p>
    <w:p>
      <w:pPr>
        <w:pStyle w:val="0"/>
        <w:jc w:val="both"/>
      </w:pPr>
      <w:r>
        <w:rPr>
          <w:sz w:val="20"/>
        </w:rPr>
      </w:r>
    </w:p>
    <w:p>
      <w:pPr>
        <w:pStyle w:val="0"/>
        <w:jc w:val="center"/>
      </w:pPr>
      <w:r>
        <w:rPr>
          <w:position w:val="-9"/>
        </w:rPr>
        <w:drawing>
          <wp:inline distT="0" distB="0" distL="0" distR="0">
            <wp:extent cx="13716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1371600" cy="253365"/>
                    </a:xfrm>
                    <a:prstGeom prst="rect">
                      <a:avLst/>
                    </a:prstGeom>
                    <a:noFill/>
                    <a:ln>
                      <a:noFill/>
                    </a:ln>
                  </pic:spPr>
                </pic:pic>
              </a:graphicData>
            </a:graphic>
          </wp:inline>
        </w:drawing>
      </w:r>
      <w:r>
        <w:rPr>
          <w:sz w:val="20"/>
        </w:rPr>
        <w:t xml:space="preserve">, (15.1)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i0 - первый год текущего долгосрочного периода регулирования;</w:t>
      </w:r>
    </w:p>
    <w:p>
      <w:pPr>
        <w:pStyle w:val="0"/>
        <w:spacing w:before="200" w:lineRule="auto"/>
        <w:ind w:firstLine="540"/>
        <w:jc w:val="both"/>
      </w:pPr>
      <w:r>
        <w:rPr>
          <w:position w:val="-8"/>
        </w:rPr>
        <w:drawing>
          <wp:inline distT="0" distB="0" distL="0" distR="0">
            <wp:extent cx="4699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469900" cy="228600"/>
                    </a:xfrm>
                    <a:prstGeom prst="rect">
                      <a:avLst/>
                    </a:prstGeom>
                    <a:noFill/>
                    <a:ln>
                      <a:noFill/>
                    </a:ln>
                  </pic:spPr>
                </pic:pic>
              </a:graphicData>
            </a:graphic>
          </wp:inline>
        </w:drawing>
      </w:r>
      <w:r>
        <w:rPr>
          <w:sz w:val="20"/>
        </w:rPr>
        <w:t xml:space="preserve"> - прирост экономии операционных расходов в i-м году, тыс. руб. Прирост экономии операционных расходов отдельного года может принимать как положительные, так и отрицательные значения;</w:t>
      </w:r>
    </w:p>
    <w:p>
      <w:pPr>
        <w:pStyle w:val="0"/>
        <w:spacing w:before="200" w:lineRule="auto"/>
        <w:ind w:firstLine="540"/>
        <w:jc w:val="both"/>
      </w:pPr>
      <w:r>
        <w:rPr>
          <w:position w:val="-8"/>
        </w:rPr>
        <w:drawing>
          <wp:inline distT="0" distB="0" distL="0" distR="0">
            <wp:extent cx="2667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0"/>
        </w:rPr>
        <w:t xml:space="preserve"> - операционные расходы в i-м году, определяемые в соответствии с </w:t>
      </w:r>
      <w:hyperlink w:history="0" w:anchor="P354" w:tooltip="ОРi = ОРi-1 * (1 - ИЭРi) * (1 + ИПЦi) * (1 + ИКАi), (8)">
        <w:r>
          <w:rPr>
            <w:sz w:val="20"/>
            <w:color w:val="0000ff"/>
          </w:rPr>
          <w:t xml:space="preserve">формулой 8</w:t>
        </w:r>
      </w:hyperlink>
      <w:r>
        <w:rPr>
          <w:sz w:val="20"/>
        </w:rPr>
        <w:t xml:space="preserve"> настоящих Методических указаний с применением уточненных значений индекса потребительских цен и индекса изменения количества активов, тыс. руб.;</w:t>
      </w:r>
    </w:p>
    <w:p>
      <w:pPr>
        <w:pStyle w:val="0"/>
        <w:spacing w:before="200" w:lineRule="auto"/>
        <w:ind w:firstLine="540"/>
        <w:jc w:val="both"/>
      </w:pPr>
      <w:r>
        <w:rPr>
          <w:position w:val="-9"/>
        </w:rPr>
        <w:drawing>
          <wp:inline distT="0" distB="0" distL="0" distR="0">
            <wp:extent cx="3048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a:extLst>
                        <a:ext uri="{28A0092B-C50C-407E-A947-70E740481C1C}">
                          <a14:useLocalDpi xmlns:a14="http://schemas.microsoft.com/office/drawing/2010/main" val="0"/>
                        </a:ext>
                      </a:extLst>
                    </a:blip>
                    <a:srcRect/>
                    <a:stretch>
                      <a:fillRect/>
                    </a:stretch>
                  </pic:blipFill>
                  <pic:spPr bwMode="auto">
                    <a:xfrm>
                      <a:off x="0" y="0"/>
                      <a:ext cx="304800" cy="253365"/>
                    </a:xfrm>
                    <a:prstGeom prst="rect">
                      <a:avLst/>
                    </a:prstGeom>
                    <a:noFill/>
                    <a:ln>
                      <a:noFill/>
                    </a:ln>
                  </pic:spPr>
                </pic:pic>
              </a:graphicData>
            </a:graphic>
          </wp:inline>
        </w:drawing>
      </w:r>
      <w:r>
        <w:rPr>
          <w:sz w:val="20"/>
        </w:rPr>
        <w:t xml:space="preserve"> - фактические операционные расходы в i году, тыс. руб. Фактические операционные расходы, учитываемые при расчете экономии операционных расходов, не могут превышать уровня, установленного на данный год органами регулирования;</w:t>
      </w:r>
    </w:p>
    <w:p>
      <w:pPr>
        <w:pStyle w:val="0"/>
        <w:spacing w:before="200" w:lineRule="auto"/>
        <w:ind w:firstLine="540"/>
        <w:jc w:val="both"/>
      </w:pPr>
      <w:r>
        <w:rPr>
          <w:position w:val="-8"/>
        </w:rPr>
        <w:drawing>
          <wp:inline distT="0" distB="0" distL="0" distR="0">
            <wp:extent cx="330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Pr>
          <w:sz w:val="20"/>
        </w:rPr>
        <w:t xml:space="preserve"> - базовый уровень операционных расходов, установленный на долгосрочный период регулирования, тыс. руб.;</w:t>
      </w:r>
    </w:p>
    <w:p>
      <w:pPr>
        <w:pStyle w:val="0"/>
        <w:spacing w:before="200" w:lineRule="auto"/>
        <w:ind w:firstLine="540"/>
        <w:jc w:val="both"/>
      </w:pPr>
      <w:r>
        <w:rPr>
          <w:position w:val="-8"/>
        </w:rPr>
        <w:drawing>
          <wp:inline distT="0" distB="0" distL="0" distR="0">
            <wp:extent cx="5397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539750" cy="228600"/>
                    </a:xfrm>
                    <a:prstGeom prst="rect">
                      <a:avLst/>
                    </a:prstGeom>
                    <a:noFill/>
                    <a:ln>
                      <a:noFill/>
                    </a:ln>
                  </pic:spPr>
                </pic:pic>
              </a:graphicData>
            </a:graphic>
          </wp:inline>
        </w:drawing>
      </w:r>
      <w:r>
        <w:rPr>
          <w:sz w:val="20"/>
        </w:rPr>
        <w:t xml:space="preserve">, </w:t>
      </w:r>
      <w:r>
        <w:rPr>
          <w:position w:val="-8"/>
        </w:rPr>
        <w:drawing>
          <wp:inline distT="0" distB="0" distL="0" distR="0">
            <wp:extent cx="42735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a:extLst>
                        <a:ext uri="{28A0092B-C50C-407E-A947-70E740481C1C}">
                          <a14:useLocalDpi xmlns:a14="http://schemas.microsoft.com/office/drawing/2010/main" val="0"/>
                        </a:ext>
                      </a:extLst>
                    </a:blip>
                    <a:srcRect/>
                    <a:stretch>
                      <a:fillRect/>
                    </a:stretch>
                  </pic:blipFill>
                  <pic:spPr bwMode="auto">
                    <a:xfrm>
                      <a:off x="0" y="0"/>
                      <a:ext cx="427355" cy="228600"/>
                    </a:xfrm>
                    <a:prstGeom prst="rect">
                      <a:avLst/>
                    </a:prstGeom>
                    <a:noFill/>
                    <a:ln>
                      <a:noFill/>
                    </a:ln>
                  </pic:spPr>
                </pic:pic>
              </a:graphicData>
            </a:graphic>
          </wp:inline>
        </w:drawing>
      </w:r>
      <w:r>
        <w:rPr>
          <w:sz w:val="20"/>
        </w:rPr>
        <w:t xml:space="preserve"> - фактическое значение индекса потребительских цен (в среднем за год к предыдущему году) в (i0+1)-м, ..., i-м годах соответственно.</w:t>
      </w:r>
    </w:p>
    <w:bookmarkStart w:id="490" w:name="P490"/>
    <w:bookmarkEnd w:id="490"/>
    <w:p>
      <w:pPr>
        <w:pStyle w:val="0"/>
        <w:spacing w:before="200" w:lineRule="auto"/>
        <w:ind w:firstLine="540"/>
        <w:jc w:val="both"/>
      </w:pPr>
      <w:r>
        <w:rPr>
          <w:sz w:val="20"/>
        </w:rPr>
        <w:t xml:space="preserve">60. Прирост экономии средств от снижения потребления энергетических ресурсов и холодной воды за прошедший год рассчитывается по формуле:</w:t>
      </w:r>
    </w:p>
    <w:p>
      <w:pPr>
        <w:pStyle w:val="0"/>
        <w:jc w:val="both"/>
      </w:pPr>
      <w:r>
        <w:rPr>
          <w:sz w:val="20"/>
        </w:rPr>
      </w:r>
    </w:p>
    <w:p>
      <w:pPr>
        <w:pStyle w:val="0"/>
        <w:jc w:val="center"/>
      </w:pPr>
      <w:r>
        <w:rPr>
          <w:position w:val="-12"/>
        </w:rPr>
        <w:drawing>
          <wp:inline distT="0" distB="0" distL="0" distR="0">
            <wp:extent cx="24892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2489200" cy="279400"/>
                    </a:xfrm>
                    <a:prstGeom prst="rect">
                      <a:avLst/>
                    </a:prstGeom>
                    <a:noFill/>
                    <a:ln>
                      <a:noFill/>
                    </a:ln>
                  </pic:spPr>
                </pic:pic>
              </a:graphicData>
            </a:graphic>
          </wp:inline>
        </w:drawing>
      </w:r>
      <w:r>
        <w:rPr>
          <w:sz w:val="20"/>
        </w:rPr>
        <w:t xml:space="preserve">, (16)</w:t>
      </w:r>
    </w:p>
    <w:p>
      <w:pPr>
        <w:pStyle w:val="0"/>
        <w:jc w:val="both"/>
      </w:pPr>
      <w:r>
        <w:rPr>
          <w:sz w:val="20"/>
        </w:rPr>
      </w:r>
    </w:p>
    <w:p>
      <w:pPr>
        <w:pStyle w:val="0"/>
        <w:jc w:val="center"/>
      </w:pPr>
      <w:r>
        <w:rPr>
          <w:position w:val="-12"/>
        </w:rPr>
        <w:drawing>
          <wp:inline distT="0" distB="0" distL="0" distR="0">
            <wp:extent cx="24257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2425700" cy="279400"/>
                    </a:xfrm>
                    <a:prstGeom prst="rect">
                      <a:avLst/>
                    </a:prstGeom>
                    <a:noFill/>
                    <a:ln>
                      <a:noFill/>
                    </a:ln>
                  </pic:spPr>
                </pic:pic>
              </a:graphicData>
            </a:graphic>
          </wp:inline>
        </w:drawing>
      </w:r>
      <w:r>
        <w:rPr>
          <w:sz w:val="20"/>
        </w:rPr>
        <w:t xml:space="preserve">, (16.1)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прирост экономии от снижения потребления энергетических ресурсов в i-м году;</w:t>
      </w:r>
    </w:p>
    <w:p>
      <w:pPr>
        <w:pStyle w:val="0"/>
        <w:spacing w:before="200" w:lineRule="auto"/>
        <w:ind w:firstLine="540"/>
        <w:jc w:val="both"/>
      </w:pPr>
      <w:r>
        <w:rPr>
          <w:position w:val="-9"/>
        </w:rPr>
        <w:drawing>
          <wp:inline distT="0" distB="0" distL="0" distR="0">
            <wp:extent cx="46164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461645" cy="253365"/>
                    </a:xfrm>
                    <a:prstGeom prst="rect">
                      <a:avLst/>
                    </a:prstGeom>
                    <a:noFill/>
                    <a:ln>
                      <a:noFill/>
                    </a:ln>
                  </pic:spPr>
                </pic:pic>
              </a:graphicData>
            </a:graphic>
          </wp:inline>
        </w:drawing>
      </w:r>
      <w:r>
        <w:rPr>
          <w:sz w:val="20"/>
        </w:rPr>
        <w:t xml:space="preserve"> - прирост экономии от снижения потребления z - энергетического ресурса, холодной воды в i-м году;</w:t>
      </w:r>
    </w:p>
    <w:p>
      <w:pPr>
        <w:pStyle w:val="0"/>
        <w:spacing w:before="200" w:lineRule="auto"/>
        <w:ind w:firstLine="540"/>
        <w:jc w:val="both"/>
      </w:pPr>
      <w:r>
        <w:rPr>
          <w:position w:val="-9"/>
        </w:rPr>
        <w:drawing>
          <wp:inline distT="0" distB="0" distL="0" distR="0">
            <wp:extent cx="4699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469900" cy="253365"/>
                    </a:xfrm>
                    <a:prstGeom prst="rect">
                      <a:avLst/>
                    </a:prstGeom>
                    <a:noFill/>
                    <a:ln>
                      <a:noFill/>
                    </a:ln>
                  </pic:spPr>
                </pic:pic>
              </a:graphicData>
            </a:graphic>
          </wp:inline>
        </w:drawing>
      </w:r>
      <w:r>
        <w:rPr>
          <w:sz w:val="20"/>
        </w:rPr>
        <w:t xml:space="preserve"> - фактическое удельное потребление электрической энергии в году i-2 в расчете на единицу объема воды, поданного в водопроводную сеть, или объема сточных вод, принятых в канализационную сеть, тыс. кВтч/куб. м;</w:t>
      </w:r>
    </w:p>
    <w:p>
      <w:pPr>
        <w:pStyle w:val="0"/>
        <w:spacing w:before="200" w:lineRule="auto"/>
        <w:ind w:firstLine="540"/>
        <w:jc w:val="both"/>
      </w:pPr>
      <w:r>
        <w:rPr>
          <w:position w:val="-10"/>
        </w:rPr>
        <w:drawing>
          <wp:inline distT="0" distB="0" distL="0" distR="0">
            <wp:extent cx="46228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462280" cy="254000"/>
                    </a:xfrm>
                    <a:prstGeom prst="rect">
                      <a:avLst/>
                    </a:prstGeom>
                    <a:noFill/>
                    <a:ln>
                      <a:noFill/>
                    </a:ln>
                  </pic:spPr>
                </pic:pic>
              </a:graphicData>
            </a:graphic>
          </wp:inline>
        </w:drawing>
      </w:r>
      <w:r>
        <w:rPr>
          <w:sz w:val="20"/>
        </w:rPr>
        <w:t xml:space="preserve"> - фактическое удельное потребление z - энергетического ресурса, воды в году i-2 в расчете на единицу объема воды, поданного в водопроводную сеть, или объема сточных вод, принятых в канализационную сеть;</w:t>
      </w:r>
    </w:p>
    <w:p>
      <w:pPr>
        <w:pStyle w:val="0"/>
        <w:spacing w:before="200" w:lineRule="auto"/>
        <w:ind w:firstLine="540"/>
        <w:jc w:val="both"/>
      </w:pPr>
      <w:r>
        <w:rPr>
          <w:position w:val="-9"/>
        </w:rPr>
        <w:drawing>
          <wp:inline distT="0" distB="0" distL="0" distR="0">
            <wp:extent cx="42735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427355" cy="253365"/>
                    </a:xfrm>
                    <a:prstGeom prst="rect">
                      <a:avLst/>
                    </a:prstGeom>
                    <a:noFill/>
                    <a:ln>
                      <a:noFill/>
                    </a:ln>
                  </pic:spPr>
                </pic:pic>
              </a:graphicData>
            </a:graphic>
          </wp:inline>
        </w:drawing>
      </w:r>
      <w:r>
        <w:rPr>
          <w:sz w:val="20"/>
        </w:rPr>
        <w:t xml:space="preserve"> - удельное потребление электрической энергии в году i, установленное на соответствующий год, тыс. кВтч/куб. м;</w:t>
      </w:r>
    </w:p>
    <w:p>
      <w:pPr>
        <w:pStyle w:val="0"/>
        <w:spacing w:before="200" w:lineRule="auto"/>
        <w:ind w:firstLine="540"/>
        <w:jc w:val="both"/>
      </w:pPr>
      <w:r>
        <w:rPr>
          <w:position w:val="-10"/>
        </w:rPr>
        <w:drawing>
          <wp:inline distT="0" distB="0" distL="0" distR="0">
            <wp:extent cx="35750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357505" cy="254000"/>
                    </a:xfrm>
                    <a:prstGeom prst="rect">
                      <a:avLst/>
                    </a:prstGeom>
                    <a:noFill/>
                    <a:ln>
                      <a:noFill/>
                    </a:ln>
                  </pic:spPr>
                </pic:pic>
              </a:graphicData>
            </a:graphic>
          </wp:inline>
        </w:drawing>
      </w:r>
      <w:r>
        <w:rPr>
          <w:sz w:val="20"/>
        </w:rPr>
        <w:t xml:space="preserve"> - удельное потребление электрической энергии в году i, установленное на соответствующий год, тыс. кВтч/куб. м;</w:t>
      </w:r>
    </w:p>
    <w:p>
      <w:pPr>
        <w:pStyle w:val="0"/>
        <w:spacing w:before="200" w:lineRule="auto"/>
        <w:ind w:firstLine="540"/>
        <w:jc w:val="both"/>
      </w:pPr>
      <w:r>
        <w:rPr>
          <w:position w:val="-9"/>
        </w:rPr>
        <w:drawing>
          <wp:inline distT="0" distB="0" distL="0" distR="0">
            <wp:extent cx="2540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254000" cy="253365"/>
                    </a:xfrm>
                    <a:prstGeom prst="rect">
                      <a:avLst/>
                    </a:prstGeom>
                    <a:noFill/>
                    <a:ln>
                      <a:noFill/>
                    </a:ln>
                  </pic:spPr>
                </pic:pic>
              </a:graphicData>
            </a:graphic>
          </wp:inline>
        </w:drawing>
      </w:r>
      <w:r>
        <w:rPr>
          <w:sz w:val="20"/>
        </w:rPr>
        <w:t xml:space="preserve"> - фактический объем воды (сточных вод), отпущенных или принятых в году i-2 в водопроводную и канализационную сеть соответственно, куб. м;</w:t>
      </w:r>
    </w:p>
    <w:p>
      <w:pPr>
        <w:pStyle w:val="0"/>
        <w:spacing w:before="200" w:lineRule="auto"/>
        <w:ind w:firstLine="540"/>
        <w:jc w:val="both"/>
      </w:pPr>
      <w:r>
        <w:rPr>
          <w:position w:val="-9"/>
        </w:rPr>
        <w:drawing>
          <wp:inline distT="0" distB="0" distL="0" distR="0">
            <wp:extent cx="22225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222250" cy="253365"/>
                    </a:xfrm>
                    <a:prstGeom prst="rect">
                      <a:avLst/>
                    </a:prstGeom>
                    <a:noFill/>
                    <a:ln>
                      <a:noFill/>
                    </a:ln>
                  </pic:spPr>
                </pic:pic>
              </a:graphicData>
            </a:graphic>
          </wp:inline>
        </w:drawing>
      </w:r>
      <w:r>
        <w:rPr>
          <w:sz w:val="20"/>
        </w:rPr>
        <w:t xml:space="preserve"> - объем воды (сточных вод), отпущенных или принятых в году i в водопроводную и канализационную сеть соответственно, учтенный при установлении тарифов, куб. м.</w:t>
      </w:r>
    </w:p>
    <w:p>
      <w:pPr>
        <w:pStyle w:val="0"/>
        <w:spacing w:before="200" w:lineRule="auto"/>
        <w:ind w:firstLine="540"/>
        <w:jc w:val="both"/>
      </w:pPr>
      <w:r>
        <w:rPr>
          <w:sz w:val="20"/>
        </w:rPr>
        <w:t xml:space="preserve">В случае установления в отношении организации норматива потребления тепловой энергии на подогрев воды прирост экономии средств от снижения потребления тепловой энергии рассчитывается по </w:t>
      </w:r>
      <w:hyperlink w:history="0" w:anchor="P436" w:tooltip=", (12)">
        <w:r>
          <w:rPr>
            <w:sz w:val="20"/>
            <w:color w:val="0000ff"/>
          </w:rPr>
          <w:t xml:space="preserve">формуле (12)</w:t>
        </w:r>
      </w:hyperlink>
      <w:r>
        <w:rPr>
          <w:sz w:val="20"/>
        </w:rPr>
        <w:t xml:space="preserve">, где вместо показателей потребления электрической энергии применяются показатели потребления тепловой энергии.</w:t>
      </w:r>
    </w:p>
    <w:p>
      <w:pPr>
        <w:pStyle w:val="0"/>
        <w:jc w:val="both"/>
      </w:pPr>
      <w:r>
        <w:rPr>
          <w:sz w:val="20"/>
        </w:rPr>
      </w:r>
    </w:p>
    <w:p>
      <w:pPr>
        <w:pStyle w:val="2"/>
        <w:outlineLvl w:val="2"/>
        <w:jc w:val="center"/>
      </w:pPr>
      <w:r>
        <w:rPr>
          <w:sz w:val="20"/>
        </w:rPr>
        <w:t xml:space="preserve">VI.III. Определение размера инвестированного капитала</w:t>
      </w:r>
    </w:p>
    <w:p>
      <w:pPr>
        <w:pStyle w:val="0"/>
        <w:jc w:val="both"/>
      </w:pPr>
      <w:r>
        <w:rPr>
          <w:sz w:val="20"/>
        </w:rPr>
      </w:r>
    </w:p>
    <w:p>
      <w:pPr>
        <w:pStyle w:val="0"/>
        <w:ind w:firstLine="540"/>
        <w:jc w:val="both"/>
      </w:pPr>
      <w:r>
        <w:rPr>
          <w:sz w:val="20"/>
        </w:rPr>
        <w:t xml:space="preserve">61. База инвестированного капитала (остаточный размер инвестированного капитала) и полная величина инвестированного капитала определяются органом регулирования тарифов на 1 января каждого года долгосрочного периода регулирования.</w:t>
      </w:r>
    </w:p>
    <w:bookmarkStart w:id="510" w:name="P510"/>
    <w:bookmarkEnd w:id="510"/>
    <w:p>
      <w:pPr>
        <w:pStyle w:val="0"/>
        <w:spacing w:before="200" w:lineRule="auto"/>
        <w:ind w:firstLine="540"/>
        <w:jc w:val="both"/>
      </w:pPr>
      <w:r>
        <w:rPr>
          <w:sz w:val="20"/>
        </w:rPr>
        <w:t xml:space="preserve">62.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pPr>
        <w:pStyle w:val="0"/>
        <w:spacing w:before="200" w:lineRule="auto"/>
        <w:ind w:firstLine="540"/>
        <w:jc w:val="both"/>
      </w:pPr>
      <w:r>
        <w:rPr>
          <w:sz w:val="20"/>
        </w:rPr>
        <w:t xml:space="preserve">62(1). В составе размера и базы инвестированного капитала учитываются объекты централизованных систем водоснабжения и (или) водоотведения, а также цифровая инфраструктура в сфере водоснабжения и водоотведения, необходимые для осуществления регулируемого вида деятельности.</w:t>
      </w:r>
    </w:p>
    <w:p>
      <w:pPr>
        <w:pStyle w:val="0"/>
        <w:jc w:val="both"/>
      </w:pPr>
      <w:r>
        <w:rPr>
          <w:sz w:val="20"/>
        </w:rPr>
        <w:t xml:space="preserve">(п. 62(1) введен </w:t>
      </w:r>
      <w:hyperlink w:history="0" r:id="rId194"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Приказом</w:t>
        </w:r>
      </w:hyperlink>
      <w:r>
        <w:rPr>
          <w:sz w:val="20"/>
        </w:rPr>
        <w:t xml:space="preserve"> ФАС России от 15.07.2024 N 473/24)</w:t>
      </w:r>
    </w:p>
    <w:bookmarkStart w:id="513" w:name="P513"/>
    <w:bookmarkEnd w:id="513"/>
    <w:p>
      <w:pPr>
        <w:pStyle w:val="0"/>
        <w:spacing w:before="200" w:lineRule="auto"/>
        <w:ind w:firstLine="540"/>
        <w:jc w:val="both"/>
      </w:pPr>
      <w:r>
        <w:rPr>
          <w:sz w:val="20"/>
        </w:rPr>
        <w:t xml:space="preserve">63. При переходе к установлению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в соответствии с </w:t>
      </w:r>
      <w:hyperlink w:history="0" r:id="rId195"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Правилами</w:t>
        </w:r>
      </w:hyperlink>
      <w:r>
        <w:rPr>
          <w:sz w:val="20"/>
        </w:rPr>
        <w:t xml:space="preserve"> определения размера инвестированного капитала в сфере водоснабжения и водоотведения и порядком ведения его учета, утвержденными постановлением Правительства Российской Федерации от 13.05.2013 N 406 (Собрание законодательства Российской Федерации, 2013, N 20, ст. 2500; N 32, ст. 4306) (далее - Правила определения размера инвестированного капитала в сфере водоснабжения и водоотведения и порядком ведения его учета) по формулам:</w:t>
      </w:r>
    </w:p>
    <w:p>
      <w:pPr>
        <w:pStyle w:val="0"/>
        <w:jc w:val="both"/>
      </w:pPr>
      <w:r>
        <w:rPr>
          <w:sz w:val="20"/>
        </w:rPr>
      </w:r>
    </w:p>
    <w:bookmarkStart w:id="515" w:name="P515"/>
    <w:bookmarkEnd w:id="515"/>
    <w:p>
      <w:pPr>
        <w:pStyle w:val="0"/>
        <w:jc w:val="center"/>
      </w:pPr>
      <w:r>
        <w:rPr>
          <w:position w:val="-8"/>
        </w:rPr>
        <w:drawing>
          <wp:inline distT="0" distB="0" distL="0" distR="0">
            <wp:extent cx="1295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Pr>
          <w:sz w:val="20"/>
        </w:rPr>
        <w:t xml:space="preserve">, (17)</w:t>
      </w:r>
    </w:p>
    <w:p>
      <w:pPr>
        <w:pStyle w:val="0"/>
        <w:jc w:val="both"/>
      </w:pPr>
      <w:r>
        <w:rPr>
          <w:sz w:val="20"/>
        </w:rPr>
      </w:r>
    </w:p>
    <w:bookmarkStart w:id="517" w:name="P517"/>
    <w:bookmarkEnd w:id="517"/>
    <w:p>
      <w:pPr>
        <w:pStyle w:val="0"/>
        <w:jc w:val="center"/>
      </w:pPr>
      <w:r>
        <w:rPr>
          <w:position w:val="-9"/>
        </w:rPr>
        <w:drawing>
          <wp:inline distT="0" distB="0" distL="0" distR="0">
            <wp:extent cx="20193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2019300" cy="253365"/>
                    </a:xfrm>
                    <a:prstGeom prst="rect">
                      <a:avLst/>
                    </a:prstGeom>
                    <a:noFill/>
                    <a:ln>
                      <a:noFill/>
                    </a:ln>
                  </pic:spPr>
                </pic:pic>
              </a:graphicData>
            </a:graphic>
          </wp:inline>
        </w:drawing>
      </w:r>
      <w:r>
        <w:rPr>
          <w:sz w:val="20"/>
        </w:rPr>
        <w:t xml:space="preserve">, (17.1)</w:t>
      </w:r>
    </w:p>
    <w:p>
      <w:pPr>
        <w:pStyle w:val="0"/>
        <w:jc w:val="both"/>
      </w:pPr>
      <w:r>
        <w:rPr>
          <w:sz w:val="20"/>
        </w:rPr>
      </w:r>
    </w:p>
    <w:p>
      <w:pPr>
        <w:pStyle w:val="0"/>
        <w:jc w:val="center"/>
      </w:pPr>
      <w:r>
        <w:rPr>
          <w:position w:val="-8"/>
        </w:rPr>
        <w:drawing>
          <wp:inline distT="0" distB="0" distL="0" distR="0">
            <wp:extent cx="1879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1879600" cy="228600"/>
                    </a:xfrm>
                    <a:prstGeom prst="rect">
                      <a:avLst/>
                    </a:prstGeom>
                    <a:noFill/>
                    <a:ln>
                      <a:noFill/>
                    </a:ln>
                  </pic:spPr>
                </pic:pic>
              </a:graphicData>
            </a:graphic>
          </wp:inline>
        </w:drawing>
      </w:r>
      <w:r>
        <w:rPr>
          <w:sz w:val="20"/>
        </w:rPr>
        <w:t xml:space="preserve">, (17.2)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РИК - первоначальный размер инвестированного капитала (база инвестированного капитала) при переходе к регулированию тарифов методом доходности инвестированного капитала, тыс. руб.;</w:t>
      </w:r>
    </w:p>
    <w:p>
      <w:pPr>
        <w:pStyle w:val="0"/>
        <w:spacing w:before="200" w:lineRule="auto"/>
        <w:ind w:firstLine="540"/>
        <w:jc w:val="both"/>
      </w:pPr>
      <w:r>
        <w:rPr>
          <w:position w:val="-8"/>
        </w:rPr>
        <w:drawing>
          <wp:inline distT="0" distB="0" distL="0" distR="0">
            <wp:extent cx="292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a:ln>
                      <a:noFill/>
                    </a:ln>
                  </pic:spPr>
                </pic:pic>
              </a:graphicData>
            </a:graphic>
          </wp:inline>
        </w:drawing>
      </w:r>
      <w:r>
        <w:rPr>
          <w:sz w:val="20"/>
        </w:rPr>
        <w:t xml:space="preserve"> - стоимость объектов централизованных систем водоснабжения и (или) водоотведения, учитываемая при определении размера инвестированного капитала регулируемой организации, тыс. руб.;</w:t>
      </w:r>
    </w:p>
    <w:p>
      <w:pPr>
        <w:pStyle w:val="0"/>
        <w:spacing w:before="200" w:lineRule="auto"/>
        <w:ind w:firstLine="540"/>
        <w:jc w:val="both"/>
      </w:pPr>
      <w:r>
        <w:rPr>
          <w:position w:val="-8"/>
        </w:rPr>
        <w:drawing>
          <wp:inline distT="0" distB="0" distL="0" distR="0">
            <wp:extent cx="444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a:noFill/>
                    </a:ln>
                  </pic:spPr>
                </pic:pic>
              </a:graphicData>
            </a:graphic>
          </wp:inline>
        </w:drawing>
      </w:r>
      <w:r>
        <w:rPr>
          <w:sz w:val="20"/>
        </w:rPr>
        <w:t xml:space="preserve"> - объем денежных средств на финансирование создания объектов централизованных систем водоснабжения и (или) водоотведения, включающий величину платы за подключение (технологическое присоединение) потребителей к системе водоснабжения и (или) водоотведения, величина выручки, полученной регулируемой организацией от применения надбавок к тарифам,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использованных регулируемой организацией за период с 31 декабря 2010 г. до 31 декабря года (включительно), предшествующего началу первого долгосрочного периода регулирования, тыс. руб.;</w:t>
      </w:r>
    </w:p>
    <w:p>
      <w:pPr>
        <w:pStyle w:val="0"/>
        <w:spacing w:before="200" w:lineRule="auto"/>
        <w:ind w:firstLine="540"/>
        <w:jc w:val="both"/>
      </w:pPr>
      <w:r>
        <w:rPr>
          <w:position w:val="-8"/>
        </w:rPr>
        <w:drawing>
          <wp:inline distT="0" distB="0" distL="0" distR="0">
            <wp:extent cx="5397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539750" cy="228600"/>
                    </a:xfrm>
                    <a:prstGeom prst="rect">
                      <a:avLst/>
                    </a:prstGeom>
                    <a:noFill/>
                    <a:ln>
                      <a:noFill/>
                    </a:ln>
                  </pic:spPr>
                </pic:pic>
              </a:graphicData>
            </a:graphic>
          </wp:inline>
        </w:drawing>
      </w:r>
      <w:r>
        <w:rPr>
          <w:sz w:val="20"/>
        </w:rPr>
        <w:t xml:space="preserve"> - остаточная стоимость объектов централизованных систем водоснабжения и (или) водоотведения, принадлежащих регулируемой организации на праве собственности или на основании концессионного соглашения, определенная по данным бухгалтерского учета по состоянию на 31 декабря 2010 г., тыс. руб.;</w:t>
      </w:r>
    </w:p>
    <w:p>
      <w:pPr>
        <w:pStyle w:val="0"/>
        <w:spacing w:before="200" w:lineRule="auto"/>
        <w:ind w:firstLine="540"/>
        <w:jc w:val="both"/>
      </w:pPr>
      <w:r>
        <w:rPr>
          <w:position w:val="-8"/>
        </w:rPr>
        <w:drawing>
          <wp:inline distT="0" distB="0" distL="0" distR="0">
            <wp:extent cx="2222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r>
        <w:rPr>
          <w:sz w:val="20"/>
        </w:rPr>
        <w:t xml:space="preserve"> - стоимость построенных, реконструируемых, модернизируемых и введенных в эксплуатацию объектов централизованных систем водоснабжения и (или) водоотведения и либо приобретенных объектов таких систем с 31 декабря 2010 г. до 31 декабря года (включительно),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модернизации) таких объектов централизованных систем водоснабжения и (или) водоотведения до их ввода в эксплуатацию), тыс. руб.</w:t>
      </w:r>
    </w:p>
    <w:p>
      <w:pPr>
        <w:pStyle w:val="0"/>
        <w:spacing w:before="200" w:lineRule="auto"/>
        <w:ind w:firstLine="540"/>
        <w:jc w:val="both"/>
      </w:pPr>
      <w:r>
        <w:rPr>
          <w:sz w:val="20"/>
        </w:rPr>
        <w:t xml:space="preserve">В отношении регулируемой организации-арендатора - стоимость построенных, реконструируемых, модернизируемых и введенных в эксплуатацию объектов централизованных систем водоснабжения и (или) водоотведения таких систем за счет собственных средств с начала действия договоров аренды до 31 декабря года (включительно),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модернизации) таких объектов централизованных систем водоснабжения и (или) водоотведения до их ввода в эксплуатацию), тыс. руб.</w:t>
      </w:r>
    </w:p>
    <w:p>
      <w:pPr>
        <w:pStyle w:val="0"/>
        <w:spacing w:before="200" w:lineRule="auto"/>
        <w:ind w:firstLine="540"/>
        <w:jc w:val="both"/>
      </w:pPr>
      <w:r>
        <w:rPr>
          <w:position w:val="-8"/>
        </w:rPr>
        <w:drawing>
          <wp:inline distT="0" distB="0" distL="0" distR="0">
            <wp:extent cx="2222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r>
        <w:rPr>
          <w:sz w:val="20"/>
        </w:rPr>
        <w:t xml:space="preserve"> - амортизация, начисленная с 31 декабря 2010 г. до 31 декабря года (включительно), предшествующего началу первого долгосрочного периода регулирования (по данным бухгалтерского учета), тыс. руб.;</w:t>
      </w:r>
    </w:p>
    <w:p>
      <w:pPr>
        <w:pStyle w:val="0"/>
        <w:spacing w:before="200" w:lineRule="auto"/>
        <w:ind w:firstLine="540"/>
        <w:jc w:val="both"/>
      </w:pPr>
      <w:r>
        <w:rPr>
          <w:position w:val="-9"/>
        </w:rPr>
        <w:drawing>
          <wp:inline distT="0" distB="0" distL="0" distR="0">
            <wp:extent cx="31686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val="0"/>
                        </a:ext>
                      </a:extLst>
                    </a:blip>
                    <a:srcRect/>
                    <a:stretch>
                      <a:fillRect/>
                    </a:stretch>
                  </pic:blipFill>
                  <pic:spPr bwMode="auto">
                    <a:xfrm>
                      <a:off x="0" y="0"/>
                      <a:ext cx="316865" cy="253365"/>
                    </a:xfrm>
                    <a:prstGeom prst="rect">
                      <a:avLst/>
                    </a:prstGeom>
                    <a:noFill/>
                    <a:ln>
                      <a:noFill/>
                    </a:ln>
                  </pic:spPr>
                </pic:pic>
              </a:graphicData>
            </a:graphic>
          </wp:inline>
        </w:drawing>
      </w:r>
      <w:r>
        <w:rPr>
          <w:sz w:val="20"/>
        </w:rPr>
        <w:t xml:space="preserve"> -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первого долгосрочного периода регулирования (по данным бухгалтерского учета на дату выбытия (отчуждения)), тыс. руб.;</w:t>
      </w:r>
    </w:p>
    <w:p>
      <w:pPr>
        <w:pStyle w:val="0"/>
        <w:spacing w:before="200" w:lineRule="auto"/>
        <w:ind w:firstLine="540"/>
        <w:jc w:val="both"/>
      </w:pPr>
      <w:r>
        <w:rPr>
          <w:position w:val="-8"/>
        </w:rPr>
        <w:drawing>
          <wp:inline distT="0" distB="0" distL="0" distR="0">
            <wp:extent cx="330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Pr>
          <w:sz w:val="20"/>
        </w:rPr>
        <w:t xml:space="preserve"> - величина платы за подключение (технологическое присоединение) потребителей к системе водоснабжения и (или) водоотведения, полученная регулируемой организацией за период с 31 декабря 2010 г. до 31 декабря года (включительно), предшествующего началу первого долгосрочного периода регулирования, тыс. руб.;</w:t>
      </w:r>
    </w:p>
    <w:p>
      <w:pPr>
        <w:pStyle w:val="0"/>
        <w:spacing w:before="200" w:lineRule="auto"/>
        <w:ind w:firstLine="540"/>
        <w:jc w:val="both"/>
      </w:pPr>
      <w:r>
        <w:rPr>
          <w:position w:val="-8"/>
        </w:rPr>
        <w:drawing>
          <wp:inline distT="0" distB="0" distL="0" distR="0">
            <wp:extent cx="419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0"/>
        </w:rPr>
        <w:t xml:space="preserve"> - величина выручки, полученной регулируемой организацией от применения надбавок к тарифам, установленных в соответствии с Федеральным </w:t>
      </w:r>
      <w:hyperlink w:history="0" r:id="rId207"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от 30 декабря 2004 г. N 210-ФЗ "Об основах регулирования тарифов организаций коммунального комплекса" (Собрание законодательства Российской Федерации, 2005, N 1 (часть I), ст. 36; N 52 (часть I), ст. 5597; 2007, N 1 (часть I), ст. 21; N 43, ст. 5084; 2008, N 30 (часть II), ст. 3616; N 52 (часть I), ст. 6236; 2009, N 48, ст. 5711; N 52 (часть I), ст. 6450; 2010, N 27, ст. 3436; N 31, ст. 4160; N 31, ст. 4206; 2011, N 30 (часть I), ст. 4590; N 30 (часть I), ст. 4596; N 50, ст. 7359; 2012, N 26, ст. 3437; N 26, ст. 3446; N 53 (часть I), ст. 7614; N 53 (часть I), ст. 7616; N 53 (часть I), ст. 7643) (далее - Федеральный закон "Об основах регулирования тарифов организаций коммунального комплекса") в течение срока их действия, тыс. руб.;</w:t>
      </w:r>
    </w:p>
    <w:p>
      <w:pPr>
        <w:pStyle w:val="0"/>
        <w:spacing w:before="200" w:lineRule="auto"/>
        <w:ind w:firstLine="540"/>
        <w:jc w:val="both"/>
      </w:pPr>
      <w:r>
        <w:rPr>
          <w:position w:val="-8"/>
        </w:rPr>
        <w:drawing>
          <wp:inline distT="0" distB="0" distL="0" distR="0">
            <wp:extent cx="279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Pr>
          <w:sz w:val="20"/>
        </w:rP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первого долгосрочного периода регулирования (по данным бухгалтерского учета), а также бюджетные средства, направленные на строительство, приобретение объектов, влекущих за собой возникновение права государственной или муниципальной собственности на эквивалентную часть уставных (складочных) капиталов регулируемых организаций, тыс. руб.</w:t>
      </w:r>
    </w:p>
    <w:bookmarkStart w:id="533" w:name="P533"/>
    <w:bookmarkEnd w:id="533"/>
    <w:p>
      <w:pPr>
        <w:pStyle w:val="0"/>
        <w:spacing w:before="200" w:lineRule="auto"/>
        <w:ind w:firstLine="540"/>
        <w:jc w:val="both"/>
      </w:pPr>
      <w:r>
        <w:rPr>
          <w:sz w:val="20"/>
        </w:rPr>
        <w:t xml:space="preserve">64. При переходе к установлению тарифов с применением метода доходности инвестированного капитала регулируемой организации, эксплуатирующей централизованную систему водоснабжения и (или) водоотведения или отдельные объекты такой системы на основе договора аренды, первоначальный размер инвестированного капитала регулируемой организации, который является частью первоначального размера инвестированного капитала, определенного в соответствии с </w:t>
      </w:r>
      <w:hyperlink w:history="0" w:anchor="P510" w:tooltip="62.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
        <w:r>
          <w:rPr>
            <w:sz w:val="20"/>
            <w:color w:val="0000ff"/>
          </w:rPr>
          <w:t xml:space="preserve">пунктом 62</w:t>
        </w:r>
      </w:hyperlink>
      <w:r>
        <w:rPr>
          <w:sz w:val="20"/>
        </w:rPr>
        <w:t xml:space="preserve"> настоящих Методических указаний, определяется отдельно от первоначального размера инвестированного капитала регулируемой организации в отношении объектов централизованной системы водоснабжения и (или) водоотведения или отдельных объектов такой системы, эксплуатируемых на иных законных основаниях.</w:t>
      </w:r>
    </w:p>
    <w:p>
      <w:pPr>
        <w:pStyle w:val="0"/>
        <w:spacing w:before="200" w:lineRule="auto"/>
        <w:ind w:firstLine="540"/>
        <w:jc w:val="both"/>
      </w:pPr>
      <w:r>
        <w:rPr>
          <w:sz w:val="20"/>
        </w:rPr>
        <w:t xml:space="preserve">Первоначальный размер инвестированного капитала арендатора определяется равным объему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до перехода к применению метода доходности инвестированного капитала за счет собственных и заемных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Федеральным </w:t>
      </w:r>
      <w:hyperlink w:history="0" r:id="rId209"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pPr>
        <w:pStyle w:val="0"/>
        <w:spacing w:before="200" w:lineRule="auto"/>
        <w:ind w:firstLine="540"/>
        <w:jc w:val="both"/>
      </w:pPr>
      <w:r>
        <w:rPr>
          <w:sz w:val="20"/>
        </w:rPr>
        <w:t xml:space="preserve">Размер инвестированного капитала арендодателя определяется как разность размера инвестированного капитала, определенного в соответствии с </w:t>
      </w:r>
      <w:hyperlink w:history="0" w:anchor="P513" w:tooltip="63. При переходе к установлению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в соответствии с Правилами определения размера инвестированного капитала в сфере водоснабжения и водоотведения и порядком ведения его учета, утвержденными постановлением Правительства Российской Федерации от 13.05.2013 N 406 (Собрание законодательства Российской Федерации, 2013, N 20, ст. 2500; N 32, ст. 4306) (далее - Прав...">
        <w:r>
          <w:rPr>
            <w:sz w:val="20"/>
            <w:color w:val="0000ff"/>
          </w:rPr>
          <w:t xml:space="preserve">пунктом 63</w:t>
        </w:r>
      </w:hyperlink>
      <w:r>
        <w:rPr>
          <w:sz w:val="20"/>
        </w:rPr>
        <w:t xml:space="preserve"> настоящих Методических указаний, и размера инвестированного капитала арендатора.</w:t>
      </w:r>
    </w:p>
    <w:p>
      <w:pPr>
        <w:pStyle w:val="0"/>
        <w:spacing w:before="200" w:lineRule="auto"/>
        <w:ind w:firstLine="540"/>
        <w:jc w:val="both"/>
      </w:pPr>
      <w:r>
        <w:rPr>
          <w:sz w:val="20"/>
        </w:rPr>
        <w:t xml:space="preserve">65.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рассчитанных в соответствии с </w:t>
      </w:r>
      <w:hyperlink w:history="0" w:anchor="P515" w:tooltip=", (17)">
        <w:r>
          <w:rPr>
            <w:sz w:val="20"/>
            <w:color w:val="0000ff"/>
          </w:rPr>
          <w:t xml:space="preserve">формулами (17)</w:t>
        </w:r>
      </w:hyperlink>
      <w:r>
        <w:rPr>
          <w:sz w:val="20"/>
        </w:rPr>
        <w:t xml:space="preserve"> и </w:t>
      </w:r>
      <w:hyperlink w:history="0" w:anchor="P517" w:tooltip=", (17.1)">
        <w:r>
          <w:rPr>
            <w:sz w:val="20"/>
            <w:color w:val="0000ff"/>
          </w:rPr>
          <w:t xml:space="preserve">(17.1)</w:t>
        </w:r>
      </w:hyperlink>
      <w:r>
        <w:rPr>
          <w:sz w:val="20"/>
        </w:rPr>
        <w:t xml:space="preserve"> настоящих Методических указаний.</w:t>
      </w:r>
    </w:p>
    <w:p>
      <w:pPr>
        <w:pStyle w:val="0"/>
        <w:spacing w:before="200" w:lineRule="auto"/>
        <w:ind w:firstLine="540"/>
        <w:jc w:val="both"/>
      </w:pPr>
      <w:r>
        <w:rPr>
          <w:sz w:val="20"/>
        </w:rPr>
        <w:t xml:space="preserve">В случае, если в году, предшествующем первому году долгосрочного периода регулирования, произошли изменения размера инвестированного капитала, которые не были учтены при установлении первоначального размера инвестированного капитала на первый долгосрочный период регулирования, то эти изменения учитываются при корректировке базы инвестированного капитала на второй год долгосрочного периода регулирования.</w:t>
      </w:r>
    </w:p>
    <w:p>
      <w:pPr>
        <w:pStyle w:val="0"/>
        <w:spacing w:before="200" w:lineRule="auto"/>
        <w:ind w:firstLine="540"/>
        <w:jc w:val="both"/>
      </w:pPr>
      <w:r>
        <w:rPr>
          <w:sz w:val="20"/>
        </w:rPr>
        <w:t xml:space="preserve">66.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10"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 7</w:t>
        </w:r>
      </w:hyperlink>
      <w:r>
        <w:rPr>
          <w:sz w:val="20"/>
        </w:rPr>
        <w:t xml:space="preserve"> Правил определения размера инвестированного капитала в сфере водоснабжения и водоотведения и порядка ведения его учета, утвержденных постановлением Правительства Российской Федерации от 13.05.2013 N 406.</w:t>
      </w:r>
    </w:p>
    <w:p>
      <w:pPr>
        <w:pStyle w:val="0"/>
        <w:jc w:val="both"/>
      </w:pPr>
      <w:r>
        <w:rPr>
          <w:sz w:val="20"/>
        </w:rPr>
      </w:r>
    </w:p>
    <w:p>
      <w:pPr>
        <w:pStyle w:val="0"/>
        <w:ind w:firstLine="540"/>
        <w:jc w:val="both"/>
      </w:pPr>
      <w:r>
        <w:rPr>
          <w:sz w:val="20"/>
        </w:rPr>
        <w:t xml:space="preserve">67. Стоимость объектов централизованной системы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pStyle w:val="0"/>
        <w:spacing w:before="200" w:lineRule="auto"/>
        <w:ind w:firstLine="540"/>
        <w:jc w:val="both"/>
      </w:pPr>
      <w:r>
        <w:rPr>
          <w:sz w:val="20"/>
        </w:rPr>
        <w:t xml:space="preserve">68. При первом применении метода доходности инвестированного капитала база инвестированного капитала на 1 января 1-го года долгосрочного периода регулирования определяется равной первоначальному размеру инвестированного капитала, определенному в соответствии с </w:t>
      </w:r>
      <w:hyperlink w:history="0" r:id="rId211"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Правилами</w:t>
        </w:r>
      </w:hyperlink>
      <w:r>
        <w:rPr>
          <w:sz w:val="20"/>
        </w:rPr>
        <w:t xml:space="preserve"> определения размера инвестированного капитала в сфере водоснабжения и водоотведения и порядка ведения его учета. В дальнейшем база инвестированного капитала на 1 января каждого года долгосрочного периода регулирования рассчитывается по формулам:</w:t>
      </w:r>
    </w:p>
    <w:p>
      <w:pPr>
        <w:pStyle w:val="0"/>
        <w:jc w:val="both"/>
      </w:pPr>
      <w:r>
        <w:rPr>
          <w:sz w:val="20"/>
        </w:rPr>
      </w:r>
    </w:p>
    <w:p>
      <w:pPr>
        <w:pStyle w:val="0"/>
        <w:jc w:val="center"/>
      </w:pPr>
      <w:r>
        <w:rPr>
          <w:position w:val="-9"/>
        </w:rPr>
        <w:drawing>
          <wp:inline distT="0" distB="0" distL="0" distR="0">
            <wp:extent cx="39751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3975100" cy="253365"/>
                    </a:xfrm>
                    <a:prstGeom prst="rect">
                      <a:avLst/>
                    </a:prstGeom>
                    <a:noFill/>
                    <a:ln>
                      <a:noFill/>
                    </a:ln>
                  </pic:spPr>
                </pic:pic>
              </a:graphicData>
            </a:graphic>
          </wp:inline>
        </w:drawing>
      </w:r>
      <w:r>
        <w:rPr>
          <w:sz w:val="20"/>
        </w:rPr>
        <w:t xml:space="preserve">, (18)</w:t>
      </w:r>
    </w:p>
    <w:p>
      <w:pPr>
        <w:pStyle w:val="0"/>
        <w:jc w:val="both"/>
      </w:pPr>
      <w:r>
        <w:rPr>
          <w:sz w:val="20"/>
        </w:rPr>
      </w:r>
    </w:p>
    <w:p>
      <w:pPr>
        <w:pStyle w:val="0"/>
        <w:jc w:val="center"/>
      </w:pPr>
      <w:r>
        <w:rPr>
          <w:position w:val="-9"/>
        </w:rPr>
        <w:drawing>
          <wp:inline distT="0" distB="0" distL="0" distR="0">
            <wp:extent cx="40132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4013200" cy="253365"/>
                    </a:xfrm>
                    <a:prstGeom prst="rect">
                      <a:avLst/>
                    </a:prstGeom>
                    <a:noFill/>
                    <a:ln>
                      <a:noFill/>
                    </a:ln>
                  </pic:spPr>
                </pic:pic>
              </a:graphicData>
            </a:graphic>
          </wp:inline>
        </w:drawing>
      </w:r>
      <w:r>
        <w:rPr>
          <w:sz w:val="20"/>
        </w:rPr>
        <w:t xml:space="preserve">, (18.1)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243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392430" cy="228600"/>
                    </a:xfrm>
                    <a:prstGeom prst="rect">
                      <a:avLst/>
                    </a:prstGeom>
                    <a:noFill/>
                    <a:ln>
                      <a:noFill/>
                    </a:ln>
                  </pic:spPr>
                </pic:pic>
              </a:graphicData>
            </a:graphic>
          </wp:inline>
        </w:drawing>
      </w:r>
      <w:r>
        <w:rPr>
          <w:sz w:val="20"/>
        </w:rPr>
        <w:t xml:space="preserve"> - база инвестированного капитала на начало года i - первого года первого долгосрочного периода регулирования, тыс. руб.;</w:t>
      </w:r>
    </w:p>
    <w:p>
      <w:pPr>
        <w:pStyle w:val="0"/>
        <w:spacing w:before="200" w:lineRule="auto"/>
        <w:ind w:firstLine="540"/>
        <w:jc w:val="both"/>
      </w:pPr>
      <w:r>
        <w:rPr>
          <w:position w:val="-9"/>
        </w:rPr>
        <w:drawing>
          <wp:inline distT="0" distB="0" distL="0" distR="0">
            <wp:extent cx="4191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419100" cy="253365"/>
                    </a:xfrm>
                    <a:prstGeom prst="rect">
                      <a:avLst/>
                    </a:prstGeom>
                    <a:noFill/>
                    <a:ln>
                      <a:noFill/>
                    </a:ln>
                  </pic:spPr>
                </pic:pic>
              </a:graphicData>
            </a:graphic>
          </wp:inline>
        </w:drawing>
      </w:r>
      <w:r>
        <w:rPr>
          <w:sz w:val="20"/>
        </w:rPr>
        <w:t xml:space="preserve"> - база инвестированного капитала арендатора (концессионера) на начало года i - первого года первого долгосрочного периода регулирования, тыс. руб.;</w:t>
      </w:r>
    </w:p>
    <w:p>
      <w:pPr>
        <w:pStyle w:val="0"/>
        <w:spacing w:before="200" w:lineRule="auto"/>
        <w:ind w:firstLine="540"/>
        <w:jc w:val="both"/>
      </w:pPr>
      <w:r>
        <w:rPr>
          <w:position w:val="-8"/>
        </w:rPr>
        <w:drawing>
          <wp:inline distT="0" distB="0" distL="0" distR="0">
            <wp:extent cx="35750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357505" cy="228600"/>
                    </a:xfrm>
                    <a:prstGeom prst="rect">
                      <a:avLst/>
                    </a:prstGeom>
                    <a:noFill/>
                    <a:ln>
                      <a:noFill/>
                    </a:ln>
                  </pic:spPr>
                </pic:pic>
              </a:graphicData>
            </a:graphic>
          </wp:inline>
        </w:drawing>
      </w:r>
      <w:r>
        <w:rPr>
          <w:sz w:val="20"/>
        </w:rPr>
        <w:t xml:space="preserve"> - капитал, инвестированный в году i-1, тыс. руб.;</w:t>
      </w:r>
    </w:p>
    <w:p>
      <w:pPr>
        <w:pStyle w:val="0"/>
        <w:spacing w:before="200" w:lineRule="auto"/>
        <w:ind w:firstLine="540"/>
        <w:jc w:val="both"/>
      </w:pPr>
      <w:r>
        <w:rPr>
          <w:position w:val="-9"/>
        </w:rPr>
        <w:drawing>
          <wp:inline distT="0" distB="0" distL="0" distR="0">
            <wp:extent cx="42735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427355" cy="253365"/>
                    </a:xfrm>
                    <a:prstGeom prst="rect">
                      <a:avLst/>
                    </a:prstGeom>
                    <a:noFill/>
                    <a:ln>
                      <a:noFill/>
                    </a:ln>
                  </pic:spPr>
                </pic:pic>
              </a:graphicData>
            </a:graphic>
          </wp:inline>
        </w:drawing>
      </w:r>
      <w:r>
        <w:rPr>
          <w:sz w:val="20"/>
        </w:rPr>
        <w:t xml:space="preserve"> -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в году i-1, тыс. руб.;</w:t>
      </w:r>
    </w:p>
    <w:p>
      <w:pPr>
        <w:pStyle w:val="0"/>
        <w:spacing w:before="200" w:lineRule="auto"/>
        <w:ind w:firstLine="540"/>
        <w:jc w:val="both"/>
      </w:pPr>
      <w:r>
        <w:rPr>
          <w:position w:val="-8"/>
        </w:rPr>
        <w:drawing>
          <wp:inline distT="0" distB="0" distL="0" distR="0">
            <wp:extent cx="3486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348615" cy="228600"/>
                    </a:xfrm>
                    <a:prstGeom prst="rect">
                      <a:avLst/>
                    </a:prstGeom>
                    <a:noFill/>
                    <a:ln>
                      <a:noFill/>
                    </a:ln>
                  </pic:spPr>
                </pic:pic>
              </a:graphicData>
            </a:graphic>
          </wp:inline>
        </w:drawing>
      </w:r>
      <w:r>
        <w:rPr>
          <w:sz w:val="20"/>
        </w:rPr>
        <w:t xml:space="preserve"> - возврат капитала в году i-1, тыс. руб.;</w:t>
      </w:r>
    </w:p>
    <w:p>
      <w:pPr>
        <w:pStyle w:val="0"/>
        <w:spacing w:before="200" w:lineRule="auto"/>
        <w:ind w:firstLine="540"/>
        <w:jc w:val="both"/>
      </w:pPr>
      <w:r>
        <w:rPr>
          <w:position w:val="-8"/>
        </w:rPr>
        <w:drawing>
          <wp:inline distT="0" distB="0" distL="0" distR="0">
            <wp:extent cx="5397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539750" cy="228600"/>
                    </a:xfrm>
                    <a:prstGeom prst="rect">
                      <a:avLst/>
                    </a:prstGeom>
                    <a:noFill/>
                    <a:ln>
                      <a:noFill/>
                    </a:ln>
                  </pic:spPr>
                </pic:pic>
              </a:graphicData>
            </a:graphic>
          </wp:inline>
        </w:drawing>
      </w:r>
      <w:r>
        <w:rPr>
          <w:sz w:val="20"/>
        </w:rPr>
        <w:t xml:space="preserve"> - корректировка, связанная с изменением доходности долгосрочных государственных обязательств по сравнению с уровнем, учтенным при установлении регулируемых тарифов в году i-1, тыс. руб.;</w:t>
      </w:r>
    </w:p>
    <w:p>
      <w:pPr>
        <w:pStyle w:val="0"/>
        <w:spacing w:before="200" w:lineRule="auto"/>
        <w:ind w:firstLine="540"/>
        <w:jc w:val="both"/>
      </w:pPr>
      <w:r>
        <w:rPr>
          <w:position w:val="-8"/>
        </w:rPr>
        <w:drawing>
          <wp:inline distT="0" distB="0" distL="0" distR="0">
            <wp:extent cx="35750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357505" cy="228600"/>
                    </a:xfrm>
                    <a:prstGeom prst="rect">
                      <a:avLst/>
                    </a:prstGeom>
                    <a:noFill/>
                    <a:ln>
                      <a:noFill/>
                    </a:ln>
                  </pic:spPr>
                </pic:pic>
              </a:graphicData>
            </a:graphic>
          </wp:inline>
        </w:drawing>
      </w:r>
      <w:r>
        <w:rPr>
          <w:sz w:val="20"/>
        </w:rPr>
        <w:t xml:space="preserve"> - величина платы за подключение (технологическое присоединение), начисленная в году i-1, тыс. руб.;</w:t>
      </w:r>
    </w:p>
    <w:p>
      <w:pPr>
        <w:pStyle w:val="0"/>
        <w:spacing w:before="200" w:lineRule="auto"/>
        <w:ind w:firstLine="540"/>
        <w:jc w:val="both"/>
      </w:pPr>
      <w:r>
        <w:rPr>
          <w:position w:val="-8"/>
        </w:rPr>
        <w:drawing>
          <wp:inline distT="0" distB="0" distL="0" distR="0">
            <wp:extent cx="330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Pr>
          <w:sz w:val="20"/>
        </w:rP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объектов централизованных систем водоснабжения и (или) водоотведения в году i-1, тыс. руб.</w:t>
      </w:r>
    </w:p>
    <w:p>
      <w:pPr>
        <w:pStyle w:val="0"/>
        <w:spacing w:before="200" w:lineRule="auto"/>
        <w:ind w:firstLine="540"/>
        <w:jc w:val="both"/>
      </w:pPr>
      <w:r>
        <w:rPr>
          <w:sz w:val="20"/>
        </w:rPr>
        <w:t xml:space="preserve">69. Корректировка, связанная с изменением доходности долгосрочных государственных обязательств по сравнению с уровнем, учтенным при установлении регулируемых тарифов в году i-1, рассчитывается по следующей формуле:</w:t>
      </w:r>
    </w:p>
    <w:p>
      <w:pPr>
        <w:pStyle w:val="0"/>
        <w:jc w:val="both"/>
      </w:pPr>
      <w:r>
        <w:rPr>
          <w:sz w:val="20"/>
        </w:rPr>
      </w:r>
    </w:p>
    <w:p>
      <w:pPr>
        <w:pStyle w:val="0"/>
        <w:jc w:val="center"/>
      </w:pPr>
      <w:r>
        <w:rPr>
          <w:position w:val="-12"/>
        </w:rPr>
        <w:drawing>
          <wp:inline distT="0" distB="0" distL="0" distR="0">
            <wp:extent cx="22606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2260600" cy="279400"/>
                    </a:xfrm>
                    <a:prstGeom prst="rect">
                      <a:avLst/>
                    </a:prstGeom>
                    <a:noFill/>
                    <a:ln>
                      <a:noFill/>
                    </a:ln>
                  </pic:spPr>
                </pic:pic>
              </a:graphicData>
            </a:graphic>
          </wp:inline>
        </w:drawing>
      </w:r>
      <w:r>
        <w:rPr>
          <w:sz w:val="20"/>
        </w:rPr>
        <w:t xml:space="preserve">, (19)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86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val="0"/>
                        </a:ext>
                      </a:extLst>
                    </a:blip>
                    <a:srcRect/>
                    <a:stretch>
                      <a:fillRect/>
                    </a:stretch>
                  </pic:blipFill>
                  <pic:spPr bwMode="auto">
                    <a:xfrm>
                      <a:off x="0" y="0"/>
                      <a:ext cx="348615" cy="228600"/>
                    </a:xfrm>
                    <a:prstGeom prst="rect">
                      <a:avLst/>
                    </a:prstGeom>
                    <a:noFill/>
                    <a:ln>
                      <a:noFill/>
                    </a:ln>
                  </pic:spPr>
                </pic:pic>
              </a:graphicData>
            </a:graphic>
          </wp:inline>
        </w:drawing>
      </w:r>
      <w:r>
        <w:rPr>
          <w:sz w:val="20"/>
        </w:rPr>
        <w:t xml:space="preserve"> - доход на инвестированный капитал в году i-1, тыс. руб.;</w:t>
      </w:r>
    </w:p>
    <w:p>
      <w:pPr>
        <w:pStyle w:val="0"/>
        <w:spacing w:before="200" w:lineRule="auto"/>
        <w:ind w:firstLine="540"/>
        <w:jc w:val="both"/>
      </w:pPr>
      <w:r>
        <w:rPr>
          <w:position w:val="-9"/>
        </w:rPr>
        <w:drawing>
          <wp:inline distT="0" distB="0" distL="0" distR="0">
            <wp:extent cx="41783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417830" cy="253365"/>
                    </a:xfrm>
                    <a:prstGeom prst="rect">
                      <a:avLst/>
                    </a:prstGeom>
                    <a:noFill/>
                    <a:ln>
                      <a:noFill/>
                    </a:ln>
                  </pic:spPr>
                </pic:pic>
              </a:graphicData>
            </a:graphic>
          </wp:inline>
        </w:drawing>
      </w:r>
      <w:r>
        <w:rPr>
          <w:sz w:val="20"/>
        </w:rPr>
        <w:t xml:space="preserve"> - норма доходности, рассчитанная в соответствии с </w:t>
      </w:r>
      <w:hyperlink w:history="0" w:anchor="P634" w:tooltip="VI.VI. Расчет нормы доходности инвестированного капитала">
        <w:r>
          <w:rPr>
            <w:sz w:val="20"/>
            <w:color w:val="0000ff"/>
          </w:rPr>
          <w:t xml:space="preserve">разделом VI.VI</w:t>
        </w:r>
      </w:hyperlink>
      <w:r>
        <w:rPr>
          <w:sz w:val="20"/>
        </w:rPr>
        <w:t xml:space="preserve"> настоящих Методических указаний с учетом фактически сложившегося уровня доходности долгосрочных государственных обязательств в году i-1.</w:t>
      </w:r>
    </w:p>
    <w:p>
      <w:pPr>
        <w:pStyle w:val="0"/>
        <w:spacing w:before="200" w:lineRule="auto"/>
        <w:ind w:firstLine="540"/>
        <w:jc w:val="both"/>
      </w:pPr>
      <w:r>
        <w:rPr>
          <w:sz w:val="20"/>
        </w:rPr>
        <w:t xml:space="preserve">70. Стоимость построенных, реконструированных, модернизированных объектов централизованной системы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pStyle w:val="0"/>
        <w:spacing w:before="200" w:lineRule="auto"/>
        <w:ind w:firstLine="540"/>
        <w:jc w:val="both"/>
      </w:pPr>
      <w:r>
        <w:rPr>
          <w:sz w:val="20"/>
        </w:rPr>
        <w:t xml:space="preserve">Расходы, осуществленные регулируемой организацией на строительство, реконструкцию, модернизацию объектов централизованной системы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pStyle w:val="0"/>
        <w:spacing w:before="200" w:lineRule="auto"/>
        <w:ind w:firstLine="540"/>
        <w:jc w:val="both"/>
      </w:pPr>
      <w:r>
        <w:rPr>
          <w:sz w:val="20"/>
        </w:rPr>
        <w:t xml:space="preserve">71. При первом применении метода доходности инвестированного капитала полная величина инвестированного капитала устанавливается в соответствии с </w:t>
      </w:r>
      <w:hyperlink w:history="0" w:anchor="P513" w:tooltip="63. При переходе к установлению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в соответствии с Правилами определения размера инвестированного капитала в сфере водоснабжения и водоотведения и порядком ведения его учета, утвержденными постановлением Правительства Российской Федерации от 13.05.2013 N 406 (Собрание законодательства Российской Федерации, 2013, N 20, ст. 2500; N 32, ст. 4306) (далее - Прав...">
        <w:r>
          <w:rPr>
            <w:sz w:val="20"/>
            <w:color w:val="0000ff"/>
          </w:rPr>
          <w:t xml:space="preserve">пунктами 63</w:t>
        </w:r>
      </w:hyperlink>
      <w:r>
        <w:rPr>
          <w:sz w:val="20"/>
        </w:rPr>
        <w:t xml:space="preserve"> - </w:t>
      </w:r>
      <w:hyperlink w:history="0" w:anchor="P533" w:tooltip="64. При переходе к установлению тарифов с применением метода доходности инвестированного капитала регулируемой организации, эксплуатирующей централизованную систему водоснабжения и (или) водоотведения или отдельные объекты такой системы на основе договора аренды, первоначальный размер инвестированного капитала регулируемой организации, который является частью первоначального размера инвестированного капитала, определенного в соответствии с пунктом 62 настоящих Методических указаний, определяется отдельно...">
        <w:r>
          <w:rPr>
            <w:sz w:val="20"/>
            <w:color w:val="0000ff"/>
          </w:rPr>
          <w:t xml:space="preserve">64</w:t>
        </w:r>
      </w:hyperlink>
      <w:r>
        <w:rPr>
          <w:sz w:val="20"/>
        </w:rPr>
        <w:t xml:space="preserve"> настоящих Методических указаний. При первом применении метода доходности инвестированного капитала полная величина инвестированного капитала регулируемой организации - арендатора (концессионера) определяется равной первоначальной стоимости инвестированного капитала. В дальнейшем полная величина инвестированного капитала рассчитывается по формулам:</w:t>
      </w:r>
    </w:p>
    <w:p>
      <w:pPr>
        <w:pStyle w:val="0"/>
        <w:jc w:val="both"/>
      </w:pPr>
      <w:r>
        <w:rPr>
          <w:sz w:val="20"/>
        </w:rPr>
      </w:r>
    </w:p>
    <w:p>
      <w:pPr>
        <w:pStyle w:val="0"/>
        <w:jc w:val="center"/>
      </w:pPr>
      <w:r>
        <w:rPr>
          <w:position w:val="-9"/>
        </w:rPr>
        <w:drawing>
          <wp:inline distT="0" distB="0" distL="0" distR="0">
            <wp:extent cx="26543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2654300" cy="253365"/>
                    </a:xfrm>
                    <a:prstGeom prst="rect">
                      <a:avLst/>
                    </a:prstGeom>
                    <a:noFill/>
                    <a:ln>
                      <a:noFill/>
                    </a:ln>
                  </pic:spPr>
                </pic:pic>
              </a:graphicData>
            </a:graphic>
          </wp:inline>
        </w:drawing>
      </w:r>
      <w:r>
        <w:rPr>
          <w:sz w:val="20"/>
        </w:rPr>
        <w:t xml:space="preserve">, (20)</w:t>
      </w:r>
    </w:p>
    <w:p>
      <w:pPr>
        <w:pStyle w:val="0"/>
        <w:jc w:val="both"/>
      </w:pPr>
      <w:r>
        <w:rPr>
          <w:sz w:val="20"/>
        </w:rPr>
      </w:r>
    </w:p>
    <w:p>
      <w:pPr>
        <w:pStyle w:val="0"/>
        <w:jc w:val="center"/>
      </w:pPr>
      <w:r>
        <w:rPr>
          <w:position w:val="-9"/>
        </w:rPr>
        <w:drawing>
          <wp:inline distT="0" distB="0" distL="0" distR="0">
            <wp:extent cx="26924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2692400" cy="253365"/>
                    </a:xfrm>
                    <a:prstGeom prst="rect">
                      <a:avLst/>
                    </a:prstGeom>
                    <a:noFill/>
                    <a:ln>
                      <a:noFill/>
                    </a:ln>
                  </pic:spPr>
                </pic:pic>
              </a:graphicData>
            </a:graphic>
          </wp:inline>
        </w:drawing>
      </w:r>
      <w:r>
        <w:rPr>
          <w:sz w:val="20"/>
        </w:rPr>
        <w:t xml:space="preserve">, (20.1)</w:t>
      </w:r>
    </w:p>
    <w:p>
      <w:pPr>
        <w:pStyle w:val="0"/>
        <w:jc w:val="both"/>
      </w:pPr>
      <w:r>
        <w:rPr>
          <w:sz w:val="20"/>
        </w:rPr>
      </w:r>
    </w:p>
    <w:p>
      <w:pPr>
        <w:pStyle w:val="0"/>
        <w:jc w:val="center"/>
      </w:pPr>
      <w:r>
        <w:rPr>
          <w:position w:val="-9"/>
        </w:rPr>
        <w:drawing>
          <wp:inline distT="0" distB="0" distL="0" distR="0">
            <wp:extent cx="21336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2133600" cy="253365"/>
                    </a:xfrm>
                    <a:prstGeom prst="rect">
                      <a:avLst/>
                    </a:prstGeom>
                    <a:noFill/>
                    <a:ln>
                      <a:noFill/>
                    </a:ln>
                  </pic:spPr>
                </pic:pic>
              </a:graphicData>
            </a:graphic>
          </wp:inline>
        </w:drawing>
      </w:r>
      <w:r>
        <w:rPr>
          <w:sz w:val="20"/>
        </w:rPr>
        <w:t xml:space="preserve">, (20.2)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37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393700" cy="228600"/>
                    </a:xfrm>
                    <a:prstGeom prst="rect">
                      <a:avLst/>
                    </a:prstGeom>
                    <a:noFill/>
                    <a:ln>
                      <a:noFill/>
                    </a:ln>
                  </pic:spPr>
                </pic:pic>
              </a:graphicData>
            </a:graphic>
          </wp:inline>
        </w:drawing>
      </w:r>
      <w:r>
        <w:rPr>
          <w:sz w:val="20"/>
        </w:rPr>
        <w:t xml:space="preserve"> - полная величина инвестированного капитала на начало года i, тыс. руб.;</w:t>
      </w:r>
    </w:p>
    <w:p>
      <w:pPr>
        <w:pStyle w:val="0"/>
        <w:spacing w:before="200" w:lineRule="auto"/>
        <w:ind w:firstLine="540"/>
        <w:jc w:val="both"/>
      </w:pPr>
      <w:r>
        <w:rPr>
          <w:position w:val="-9"/>
        </w:rPr>
        <w:drawing>
          <wp:inline distT="0" distB="0" distL="0" distR="0">
            <wp:extent cx="4445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444500" cy="253365"/>
                    </a:xfrm>
                    <a:prstGeom prst="rect">
                      <a:avLst/>
                    </a:prstGeom>
                    <a:noFill/>
                    <a:ln>
                      <a:noFill/>
                    </a:ln>
                  </pic:spPr>
                </pic:pic>
              </a:graphicData>
            </a:graphic>
          </wp:inline>
        </w:drawing>
      </w:r>
      <w:r>
        <w:rPr>
          <w:sz w:val="20"/>
        </w:rPr>
        <w:t xml:space="preserve"> - полная величина инвестированного капитала арендатора (концессионера) на начало года i, тыс. руб.;</w:t>
      </w:r>
    </w:p>
    <w:p>
      <w:pPr>
        <w:pStyle w:val="0"/>
        <w:spacing w:before="200" w:lineRule="auto"/>
        <w:ind w:firstLine="540"/>
        <w:jc w:val="both"/>
      </w:pPr>
      <w:r>
        <w:rPr>
          <w:position w:val="-9"/>
        </w:rPr>
        <w:drawing>
          <wp:inline distT="0" distB="0" distL="0" distR="0">
            <wp:extent cx="3429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342900" cy="253365"/>
                    </a:xfrm>
                    <a:prstGeom prst="rect">
                      <a:avLst/>
                    </a:prstGeom>
                    <a:noFill/>
                    <a:ln>
                      <a:noFill/>
                    </a:ln>
                  </pic:spPr>
                </pic:pic>
              </a:graphicData>
            </a:graphic>
          </wp:inline>
        </w:drawing>
      </w:r>
      <w:r>
        <w:rPr>
          <w:sz w:val="20"/>
        </w:rPr>
        <w:t xml:space="preserve"> -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тыс. руб.;</w:t>
      </w:r>
    </w:p>
    <w:p>
      <w:pPr>
        <w:pStyle w:val="0"/>
        <w:spacing w:before="200" w:lineRule="auto"/>
        <w:ind w:firstLine="540"/>
        <w:jc w:val="both"/>
      </w:pPr>
      <w:r>
        <w:rPr>
          <w:position w:val="-9"/>
        </w:rPr>
        <w:drawing>
          <wp:inline distT="0" distB="0" distL="0" distR="0">
            <wp:extent cx="50292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502920" cy="253365"/>
                    </a:xfrm>
                    <a:prstGeom prst="rect">
                      <a:avLst/>
                    </a:prstGeom>
                    <a:noFill/>
                    <a:ln>
                      <a:noFill/>
                    </a:ln>
                  </pic:spPr>
                </pic:pic>
              </a:graphicData>
            </a:graphic>
          </wp:inline>
        </w:drawing>
      </w:r>
      <w:r>
        <w:rPr>
          <w:sz w:val="20"/>
        </w:rPr>
        <w:t xml:space="preserve"> - полная стоимость объектов централизованных систем водоснабжения и (или) водоотведения, выбывших из эксплуатации и (или) отчужденных иным образом регулируемой организацией в году i-1, тыс. руб.;</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величина инвестированного капитала, возвращенного в полном объеме (величина инвестированного капитала, для которого истек срок возврата инвестированного капитала), тыс. руб.;</w:t>
      </w:r>
    </w:p>
    <w:p>
      <w:pPr>
        <w:pStyle w:val="0"/>
        <w:spacing w:before="200" w:lineRule="auto"/>
        <w:ind w:firstLine="540"/>
        <w:jc w:val="both"/>
      </w:pPr>
      <w:r>
        <w:rPr>
          <w:position w:val="-8"/>
        </w:rPr>
        <w:drawing>
          <wp:inline distT="0" distB="0" distL="0" distR="0">
            <wp:extent cx="279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Pr>
          <w:sz w:val="20"/>
        </w:rPr>
        <w:t xml:space="preserve"> - капитальные вложения в году i, определяемые как стоимость объектов централизованных систем водоснабжения и (или) водоотведения, введенных в эксплуатацию,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тыс. руб.;</w:t>
      </w:r>
    </w:p>
    <w:p>
      <w:pPr>
        <w:pStyle w:val="0"/>
        <w:spacing w:before="200" w:lineRule="auto"/>
        <w:ind w:firstLine="540"/>
        <w:jc w:val="both"/>
      </w:pPr>
      <w:r>
        <w:rPr>
          <w:position w:val="-8"/>
        </w:rPr>
        <w:drawing>
          <wp:inline distT="0" distB="0" distL="0" distR="0">
            <wp:extent cx="5003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500380" cy="228600"/>
                    </a:xfrm>
                    <a:prstGeom prst="rect">
                      <a:avLst/>
                    </a:prstGeom>
                    <a:noFill/>
                    <a:ln>
                      <a:noFill/>
                    </a:ln>
                  </pic:spPr>
                </pic:pic>
              </a:graphicData>
            </a:graphic>
          </wp:inline>
        </w:drawing>
      </w:r>
      <w:r>
        <w:rPr>
          <w:sz w:val="20"/>
        </w:rPr>
        <w:t xml:space="preserve"> - изменение количества активов в году i, связанное с приобретением или отчуждением объектов централизованных систем водоснабжения и водоотведения в пользу третьих лиц, определяемое с использованием полной стоимости таких объектов по данным бухгалтерского учета (но не выше укрупненных сметных нормативов для строительства таких объектов), тыс. руб.</w:t>
      </w:r>
    </w:p>
    <w:p>
      <w:pPr>
        <w:pStyle w:val="0"/>
        <w:spacing w:before="200" w:lineRule="auto"/>
        <w:ind w:firstLine="540"/>
        <w:jc w:val="both"/>
      </w:pPr>
      <w:r>
        <w:rPr>
          <w:position w:val="-8"/>
        </w:rPr>
        <w:drawing>
          <wp:inline distT="0" distB="0" distL="0" distR="0">
            <wp:extent cx="304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0"/>
        </w:rPr>
        <w:t xml:space="preserve"> - величина платы за подключение (технологическое присоединение), начисленная в году i, тыс. руб.;</w:t>
      </w:r>
    </w:p>
    <w:p>
      <w:pPr>
        <w:pStyle w:val="0"/>
        <w:spacing w:before="200" w:lineRule="auto"/>
        <w:ind w:firstLine="540"/>
        <w:jc w:val="both"/>
      </w:pPr>
      <w:r>
        <w:rPr>
          <w:position w:val="-8"/>
        </w:rPr>
        <w:drawing>
          <wp:inline distT="0" distB="0" distL="0" distR="0">
            <wp:extent cx="2667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0"/>
        </w:rP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объектов централизованных систем водоснабжения и (или) водоотведения в году i, тыс. руб.</w:t>
      </w:r>
    </w:p>
    <w:p>
      <w:pPr>
        <w:pStyle w:val="0"/>
        <w:jc w:val="both"/>
      </w:pPr>
      <w:r>
        <w:rPr>
          <w:sz w:val="20"/>
        </w:rPr>
      </w:r>
    </w:p>
    <w:p>
      <w:pPr>
        <w:pStyle w:val="2"/>
        <w:outlineLvl w:val="2"/>
        <w:jc w:val="center"/>
      </w:pPr>
      <w:r>
        <w:rPr>
          <w:sz w:val="20"/>
        </w:rPr>
        <w:t xml:space="preserve">VI.IV. Возврат инвестированного капитала</w:t>
      </w:r>
    </w:p>
    <w:p>
      <w:pPr>
        <w:pStyle w:val="0"/>
        <w:jc w:val="both"/>
      </w:pPr>
      <w:r>
        <w:rPr>
          <w:sz w:val="20"/>
        </w:rPr>
      </w:r>
    </w:p>
    <w:bookmarkStart w:id="588" w:name="P588"/>
    <w:bookmarkEnd w:id="588"/>
    <w:p>
      <w:pPr>
        <w:pStyle w:val="0"/>
        <w:ind w:firstLine="540"/>
        <w:jc w:val="both"/>
      </w:pPr>
      <w:r>
        <w:rPr>
          <w:sz w:val="20"/>
        </w:rPr>
        <w:t xml:space="preserve">72. 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рассчитывается по формуле:</w:t>
      </w:r>
    </w:p>
    <w:p>
      <w:pPr>
        <w:pStyle w:val="0"/>
        <w:jc w:val="both"/>
      </w:pPr>
      <w:r>
        <w:rPr>
          <w:sz w:val="20"/>
        </w:rPr>
      </w:r>
    </w:p>
    <w:p>
      <w:pPr>
        <w:pStyle w:val="0"/>
        <w:jc w:val="center"/>
      </w:pPr>
      <w:r>
        <w:rPr>
          <w:position w:val="-22"/>
        </w:rPr>
        <w:drawing>
          <wp:inline distT="0" distB="0" distL="0" distR="0">
            <wp:extent cx="879475" cy="413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879475" cy="413385"/>
                    </a:xfrm>
                    <a:prstGeom prst="rect">
                      <a:avLst/>
                    </a:prstGeom>
                    <a:noFill/>
                    <a:ln>
                      <a:noFill/>
                    </a:ln>
                  </pic:spPr>
                </pic:pic>
              </a:graphicData>
            </a:graphic>
          </wp:inline>
        </w:drawing>
      </w:r>
      <w:r>
        <w:rPr>
          <w:sz w:val="20"/>
        </w:rPr>
        <w:t xml:space="preserve">, (21)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92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a:ln>
                      <a:noFill/>
                    </a:ln>
                  </pic:spPr>
                </pic:pic>
              </a:graphicData>
            </a:graphic>
          </wp:inline>
        </w:drawing>
      </w:r>
      <w:r>
        <w:rPr>
          <w:sz w:val="20"/>
        </w:rPr>
        <w:t xml:space="preserve"> - возврат инвестированного капитала в году i, тыс. руб.;</w:t>
      </w:r>
    </w:p>
    <w:p>
      <w:pPr>
        <w:pStyle w:val="0"/>
        <w:spacing w:before="200" w:lineRule="auto"/>
        <w:ind w:firstLine="540"/>
        <w:jc w:val="both"/>
      </w:pPr>
      <w:r>
        <w:rPr>
          <w:position w:val="-8"/>
        </w:rPr>
        <w:drawing>
          <wp:inline distT="0" distB="0" distL="0" distR="0">
            <wp:extent cx="4699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469900" cy="228600"/>
                    </a:xfrm>
                    <a:prstGeom prst="rect">
                      <a:avLst/>
                    </a:prstGeom>
                    <a:noFill/>
                    <a:ln>
                      <a:noFill/>
                    </a:ln>
                  </pic:spPr>
                </pic:pic>
              </a:graphicData>
            </a:graphic>
          </wp:inline>
        </w:drawing>
      </w:r>
      <w:r>
        <w:rPr>
          <w:sz w:val="20"/>
        </w:rPr>
        <w:t xml:space="preserve"> - полный размер инвестированного капитала, определенный на начало года i (конец года i-1), тыс. руб.;</w:t>
      </w:r>
    </w:p>
    <w:p>
      <w:pPr>
        <w:pStyle w:val="0"/>
        <w:spacing w:before="200" w:lineRule="auto"/>
        <w:ind w:firstLine="540"/>
        <w:jc w:val="both"/>
      </w:pPr>
      <w:r>
        <w:rPr>
          <w:sz w:val="20"/>
        </w:rPr>
        <w:t xml:space="preserve">СВК - срок возврата инвестированного капитала, лет.</w:t>
      </w:r>
    </w:p>
    <w:p>
      <w:pPr>
        <w:pStyle w:val="0"/>
        <w:spacing w:before="200" w:lineRule="auto"/>
        <w:ind w:firstLine="540"/>
        <w:jc w:val="both"/>
      </w:pPr>
      <w:r>
        <w:rPr>
          <w:sz w:val="20"/>
        </w:rPr>
        <w:t xml:space="preserve">73. 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pPr>
        <w:pStyle w:val="0"/>
        <w:spacing w:before="200" w:lineRule="auto"/>
        <w:ind w:firstLine="540"/>
        <w:jc w:val="both"/>
      </w:pPr>
      <w:r>
        <w:rPr>
          <w:sz w:val="20"/>
        </w:rPr>
        <w:t xml:space="preserve">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pPr>
        <w:pStyle w:val="0"/>
        <w:spacing w:before="200" w:lineRule="auto"/>
        <w:ind w:firstLine="540"/>
        <w:jc w:val="both"/>
      </w:pPr>
      <w:r>
        <w:rPr>
          <w:sz w:val="20"/>
        </w:rPr>
        <w:t xml:space="preserve">в отношении иных регулируемых организаций - равным от 20 до 30 лет.</w:t>
      </w:r>
    </w:p>
    <w:p>
      <w:pPr>
        <w:pStyle w:val="0"/>
        <w:jc w:val="both"/>
      </w:pPr>
      <w:r>
        <w:rPr>
          <w:sz w:val="20"/>
        </w:rPr>
        <w:t xml:space="preserve">(п. 73 в ред. </w:t>
      </w:r>
      <w:hyperlink w:history="0" r:id="rId240"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p>
      <w:pPr>
        <w:pStyle w:val="0"/>
        <w:jc w:val="both"/>
      </w:pPr>
      <w:r>
        <w:rPr>
          <w:sz w:val="20"/>
        </w:rPr>
      </w:r>
    </w:p>
    <w:p>
      <w:pPr>
        <w:pStyle w:val="2"/>
        <w:outlineLvl w:val="2"/>
        <w:jc w:val="center"/>
      </w:pPr>
      <w:r>
        <w:rPr>
          <w:sz w:val="20"/>
        </w:rPr>
        <w:t xml:space="preserve">VI.V. Доход на инвестированный капитал</w:t>
      </w:r>
    </w:p>
    <w:p>
      <w:pPr>
        <w:pStyle w:val="0"/>
        <w:jc w:val="both"/>
      </w:pPr>
      <w:r>
        <w:rPr>
          <w:sz w:val="20"/>
        </w:rPr>
      </w:r>
    </w:p>
    <w:bookmarkStart w:id="603" w:name="P603"/>
    <w:bookmarkEnd w:id="603"/>
    <w:p>
      <w:pPr>
        <w:pStyle w:val="0"/>
        <w:ind w:firstLine="540"/>
        <w:jc w:val="both"/>
      </w:pPr>
      <w:r>
        <w:rPr>
          <w:sz w:val="20"/>
        </w:rPr>
        <w:t xml:space="preserve">74. В необходимую валовую выручку регулируемой организации на i-й год включается доход на инвестированный капитал, рассчитанный по формуле:</w:t>
      </w:r>
    </w:p>
    <w:p>
      <w:pPr>
        <w:pStyle w:val="0"/>
        <w:jc w:val="both"/>
      </w:pPr>
      <w:r>
        <w:rPr>
          <w:sz w:val="20"/>
        </w:rPr>
      </w:r>
    </w:p>
    <w:p>
      <w:pPr>
        <w:pStyle w:val="0"/>
        <w:jc w:val="center"/>
      </w:pPr>
      <w:r>
        <w:rPr>
          <w:position w:val="-10"/>
        </w:rPr>
        <w:drawing>
          <wp:inline distT="0" distB="0" distL="0" distR="0">
            <wp:extent cx="168846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1688465" cy="254000"/>
                    </a:xfrm>
                    <a:prstGeom prst="rect">
                      <a:avLst/>
                    </a:prstGeom>
                    <a:noFill/>
                    <a:ln>
                      <a:noFill/>
                    </a:ln>
                  </pic:spPr>
                </pic:pic>
              </a:graphicData>
            </a:graphic>
          </wp:inline>
        </w:drawing>
      </w:r>
      <w:r>
        <w:rPr>
          <w:sz w:val="20"/>
        </w:rPr>
        <w:t xml:space="preserve">, (22)</w:t>
      </w:r>
    </w:p>
    <w:p>
      <w:pPr>
        <w:pStyle w:val="0"/>
        <w:jc w:val="both"/>
      </w:pPr>
      <w:r>
        <w:rPr>
          <w:sz w:val="20"/>
        </w:rPr>
      </w:r>
    </w:p>
    <w:p>
      <w:pPr>
        <w:pStyle w:val="0"/>
        <w:jc w:val="center"/>
      </w:pPr>
      <w:r>
        <w:rPr>
          <w:position w:val="-12"/>
        </w:rPr>
        <w:drawing>
          <wp:inline distT="0" distB="0" distL="0" distR="0">
            <wp:extent cx="17780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a:extLst>
                        <a:ext uri="{28A0092B-C50C-407E-A947-70E740481C1C}">
                          <a14:useLocalDpi xmlns:a14="http://schemas.microsoft.com/office/drawing/2010/main" val="0"/>
                        </a:ext>
                      </a:extLst>
                    </a:blip>
                    <a:srcRect/>
                    <a:stretch>
                      <a:fillRect/>
                    </a:stretch>
                  </pic:blipFill>
                  <pic:spPr bwMode="auto">
                    <a:xfrm>
                      <a:off x="0" y="0"/>
                      <a:ext cx="1778000" cy="279400"/>
                    </a:xfrm>
                    <a:prstGeom prst="rect">
                      <a:avLst/>
                    </a:prstGeom>
                    <a:noFill/>
                    <a:ln>
                      <a:noFill/>
                    </a:ln>
                  </pic:spPr>
                </pic:pic>
              </a:graphicData>
            </a:graphic>
          </wp:inline>
        </w:drawing>
      </w:r>
      <w:r>
        <w:rPr>
          <w:sz w:val="20"/>
        </w:rPr>
        <w:t xml:space="preserve">, (22.2)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92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a:ln>
                      <a:noFill/>
                    </a:ln>
                  </pic:spPr>
                </pic:pic>
              </a:graphicData>
            </a:graphic>
          </wp:inline>
        </w:drawing>
      </w:r>
      <w:r>
        <w:rPr>
          <w:sz w:val="20"/>
        </w:rPr>
        <w:t xml:space="preserve"> - доход на инвестированный капитал в году i, тыс. руб.;</w:t>
      </w:r>
    </w:p>
    <w:p>
      <w:pPr>
        <w:pStyle w:val="0"/>
        <w:spacing w:before="200" w:lineRule="auto"/>
        <w:ind w:firstLine="540"/>
        <w:jc w:val="both"/>
      </w:pPr>
      <w:r>
        <w:rPr>
          <w:position w:val="-9"/>
        </w:rPr>
        <w:drawing>
          <wp:inline distT="0" distB="0" distL="0" distR="0">
            <wp:extent cx="3302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330200" cy="253365"/>
                    </a:xfrm>
                    <a:prstGeom prst="rect">
                      <a:avLst/>
                    </a:prstGeom>
                    <a:noFill/>
                    <a:ln>
                      <a:noFill/>
                    </a:ln>
                  </pic:spPr>
                </pic:pic>
              </a:graphicData>
            </a:graphic>
          </wp:inline>
        </w:drawing>
      </w:r>
      <w:r>
        <w:rPr>
          <w:sz w:val="20"/>
        </w:rPr>
        <w:t xml:space="preserve"> - доход на инвестированный капитал арендатора (концессионера) в году i, тыс. руб.;</w:t>
      </w:r>
    </w:p>
    <w:p>
      <w:pPr>
        <w:pStyle w:val="0"/>
        <w:spacing w:before="200" w:lineRule="auto"/>
        <w:ind w:firstLine="540"/>
        <w:jc w:val="both"/>
      </w:pP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 база инвестированного капитала, определенная на начало года i, тыс. руб.;</w:t>
      </w:r>
    </w:p>
    <w:p>
      <w:pPr>
        <w:pStyle w:val="0"/>
        <w:spacing w:before="200" w:lineRule="auto"/>
        <w:ind w:firstLine="540"/>
        <w:jc w:val="both"/>
      </w:pPr>
      <w:r>
        <w:rPr>
          <w:position w:val="-9"/>
        </w:rPr>
        <w:drawing>
          <wp:inline distT="0" distB="0" distL="0" distR="0">
            <wp:extent cx="4191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419100" cy="253365"/>
                    </a:xfrm>
                    <a:prstGeom prst="rect">
                      <a:avLst/>
                    </a:prstGeom>
                    <a:noFill/>
                    <a:ln>
                      <a:noFill/>
                    </a:ln>
                  </pic:spPr>
                </pic:pic>
              </a:graphicData>
            </a:graphic>
          </wp:inline>
        </w:drawing>
      </w:r>
      <w:r>
        <w:rPr>
          <w:sz w:val="20"/>
        </w:rPr>
        <w:t xml:space="preserve"> - база инвестированного капитала арендатора (концессионера), определенная на начало года i, тыс. руб.;</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чистый оборотный капитал, определенный на начало года i, тыс. руб.;</w:t>
      </w:r>
    </w:p>
    <w:p>
      <w:pPr>
        <w:pStyle w:val="0"/>
        <w:spacing w:before="200" w:lineRule="auto"/>
        <w:ind w:firstLine="540"/>
        <w:jc w:val="both"/>
      </w:pPr>
      <w:r>
        <w:rPr>
          <w:position w:val="-8"/>
        </w:rPr>
        <w:drawing>
          <wp:inline distT="0" distB="0" distL="0" distR="0">
            <wp:extent cx="304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0"/>
        </w:rPr>
        <w:t xml:space="preserve"> - норма доходности на инвестированный капитал в году i, процентов.</w:t>
      </w:r>
    </w:p>
    <w:p>
      <w:pPr>
        <w:pStyle w:val="0"/>
        <w:spacing w:before="200" w:lineRule="auto"/>
        <w:ind w:firstLine="540"/>
        <w:jc w:val="both"/>
      </w:pPr>
      <w:r>
        <w:rPr>
          <w:sz w:val="20"/>
        </w:rPr>
        <w:t xml:space="preserve">Доход на инвестированный капитал в течение первых двух лет после перехода к регулированию тарифов методом обеспечения доходности инвестированного капитала рассчитывается по формулам (в случае принятия решения об установлении различной нормы доходности на инвестированный капитал, созданный до и после перехода к установлению тарифов с использованием метода обеспечения доходности инвестированного капитала):</w:t>
      </w:r>
    </w:p>
    <w:p>
      <w:pPr>
        <w:pStyle w:val="0"/>
        <w:jc w:val="both"/>
      </w:pPr>
      <w:r>
        <w:rPr>
          <w:sz w:val="20"/>
        </w:rPr>
      </w:r>
    </w:p>
    <w:p>
      <w:pPr>
        <w:pStyle w:val="0"/>
        <w:jc w:val="center"/>
      </w:pPr>
      <w:r>
        <w:rPr>
          <w:position w:val="-10"/>
        </w:rPr>
        <w:drawing>
          <wp:inline distT="0" distB="0" distL="0" distR="0">
            <wp:extent cx="1879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1879600" cy="254000"/>
                    </a:xfrm>
                    <a:prstGeom prst="rect">
                      <a:avLst/>
                    </a:prstGeom>
                    <a:noFill/>
                    <a:ln>
                      <a:noFill/>
                    </a:ln>
                  </pic:spPr>
                </pic:pic>
              </a:graphicData>
            </a:graphic>
          </wp:inline>
        </w:drawing>
      </w:r>
      <w:r>
        <w:rPr>
          <w:sz w:val="20"/>
        </w:rPr>
        <w:t xml:space="preserve">, (23)</w:t>
      </w:r>
    </w:p>
    <w:p>
      <w:pPr>
        <w:pStyle w:val="0"/>
        <w:jc w:val="both"/>
      </w:pPr>
      <w:r>
        <w:rPr>
          <w:sz w:val="20"/>
        </w:rPr>
      </w:r>
    </w:p>
    <w:p>
      <w:pPr>
        <w:pStyle w:val="0"/>
        <w:jc w:val="center"/>
      </w:pPr>
      <w:r>
        <w:rPr>
          <w:position w:val="-23"/>
        </w:rPr>
        <w:drawing>
          <wp:inline distT="0" distB="0" distL="0" distR="0">
            <wp:extent cx="49022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4902200" cy="419100"/>
                    </a:xfrm>
                    <a:prstGeom prst="rect">
                      <a:avLst/>
                    </a:prstGeom>
                    <a:noFill/>
                    <a:ln>
                      <a:noFill/>
                    </a:ln>
                  </pic:spPr>
                </pic:pic>
              </a:graphicData>
            </a:graphic>
          </wp:inline>
        </w:drawing>
      </w:r>
      <w:r>
        <w:rPr>
          <w:sz w:val="20"/>
        </w:rPr>
        <w:t xml:space="preserve">, (23.1)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4861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348615" cy="253365"/>
                    </a:xfrm>
                    <a:prstGeom prst="rect">
                      <a:avLst/>
                    </a:prstGeom>
                    <a:noFill/>
                    <a:ln>
                      <a:noFill/>
                    </a:ln>
                  </pic:spPr>
                </pic:pic>
              </a:graphicData>
            </a:graphic>
          </wp:inline>
        </w:drawing>
      </w:r>
      <w:r>
        <w:rPr>
          <w:sz w:val="20"/>
        </w:rPr>
        <w:t xml:space="preserve"> - норма доходности на инвестированный капитал, созданный до перехода к установлению тарифов с использованием метода обеспечения доходности инвестированного капитала, процентов;</w:t>
      </w:r>
    </w:p>
    <w:p>
      <w:pPr>
        <w:pStyle w:val="0"/>
        <w:spacing w:before="200" w:lineRule="auto"/>
        <w:ind w:firstLine="540"/>
        <w:jc w:val="both"/>
      </w:pPr>
      <w:r>
        <w:rPr>
          <w:position w:val="-9"/>
        </w:rPr>
        <w:drawing>
          <wp:inline distT="0" distB="0" distL="0" distR="0">
            <wp:extent cx="4191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419100" cy="253365"/>
                    </a:xfrm>
                    <a:prstGeom prst="rect">
                      <a:avLst/>
                    </a:prstGeom>
                    <a:noFill/>
                    <a:ln>
                      <a:noFill/>
                    </a:ln>
                  </pic:spPr>
                </pic:pic>
              </a:graphicData>
            </a:graphic>
          </wp:inline>
        </w:drawing>
      </w:r>
      <w:r>
        <w:rPr>
          <w:sz w:val="20"/>
        </w:rPr>
        <w:t xml:space="preserve"> - норма доходности на инвестированный капитал, созданный после перехода к установлению тарифов с использованием метода обеспечения доходности инвестированного капитала, процентов.</w:t>
      </w:r>
    </w:p>
    <w:p>
      <w:pPr>
        <w:pStyle w:val="0"/>
        <w:spacing w:before="200" w:lineRule="auto"/>
        <w:ind w:firstLine="540"/>
        <w:jc w:val="both"/>
      </w:pPr>
      <w:r>
        <w:rPr>
          <w:sz w:val="20"/>
        </w:rPr>
        <w:t xml:space="preserve">75. В случае если организация эксплуатирует производственные объекты в соответствии с договором аренды или концессионным соглашением, доход на капитал, инвестированный арендодателем (концедентом), не начисляется.</w:t>
      </w:r>
    </w:p>
    <w:p>
      <w:pPr>
        <w:pStyle w:val="0"/>
        <w:spacing w:before="200" w:lineRule="auto"/>
        <w:ind w:firstLine="540"/>
        <w:jc w:val="both"/>
      </w:pPr>
      <w:r>
        <w:rPr>
          <w:sz w:val="20"/>
        </w:rPr>
        <w:t xml:space="preserve">76. Нормативная величина чистого оборотного капитала рассчитывается по формуле:</w:t>
      </w:r>
    </w:p>
    <w:p>
      <w:pPr>
        <w:pStyle w:val="0"/>
        <w:jc w:val="both"/>
      </w:pPr>
      <w:r>
        <w:rPr>
          <w:sz w:val="20"/>
        </w:rPr>
      </w:r>
    </w:p>
    <w:bookmarkStart w:id="628" w:name="P628"/>
    <w:bookmarkEnd w:id="628"/>
    <w:p>
      <w:pPr>
        <w:pStyle w:val="0"/>
        <w:jc w:val="center"/>
      </w:pPr>
      <w:r>
        <w:rPr>
          <w:position w:val="-8"/>
        </w:rPr>
        <w:drawing>
          <wp:inline distT="0" distB="0" distL="0" distR="0">
            <wp:extent cx="12668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sz w:val="20"/>
        </w:rPr>
        <w:t xml:space="preserve">, (24)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нормативная величина чистого оборотного капитала, определенная на начало года i, тыс. руб.;</w:t>
      </w:r>
    </w:p>
    <w:p>
      <w:pPr>
        <w:pStyle w:val="0"/>
        <w:spacing w:before="200" w:lineRule="auto"/>
        <w:ind w:firstLine="540"/>
        <w:jc w:val="both"/>
      </w:pPr>
      <w:r>
        <w:rPr>
          <w:position w:val="-8"/>
        </w:rPr>
        <w:drawing>
          <wp:inline distT="0" distB="0" distL="0" distR="0">
            <wp:extent cx="46164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a:extLst>
                        <a:ext uri="{28A0092B-C50C-407E-A947-70E740481C1C}">
                          <a14:useLocalDpi xmlns:a14="http://schemas.microsoft.com/office/drawing/2010/main" val="0"/>
                        </a:ext>
                      </a:extLst>
                    </a:blip>
                    <a:srcRect/>
                    <a:stretch>
                      <a:fillRect/>
                    </a:stretch>
                  </pic:blipFill>
                  <pic:spPr bwMode="auto">
                    <a:xfrm>
                      <a:off x="0" y="0"/>
                      <a:ext cx="461645" cy="228600"/>
                    </a:xfrm>
                    <a:prstGeom prst="rect">
                      <a:avLst/>
                    </a:prstGeom>
                    <a:noFill/>
                    <a:ln>
                      <a:noFill/>
                    </a:ln>
                  </pic:spPr>
                </pic:pic>
              </a:graphicData>
            </a:graphic>
          </wp:inline>
        </w:drawing>
      </w:r>
      <w:r>
        <w:rPr>
          <w:sz w:val="20"/>
        </w:rPr>
        <w:t xml:space="preserve"> - необходимая валовая выручка, установленная на год i-1, тыс. руб.</w:t>
      </w:r>
    </w:p>
    <w:p>
      <w:pPr>
        <w:pStyle w:val="0"/>
        <w:jc w:val="both"/>
      </w:pPr>
      <w:r>
        <w:rPr>
          <w:sz w:val="20"/>
        </w:rPr>
      </w:r>
    </w:p>
    <w:bookmarkStart w:id="634" w:name="P634"/>
    <w:bookmarkEnd w:id="634"/>
    <w:p>
      <w:pPr>
        <w:pStyle w:val="2"/>
        <w:outlineLvl w:val="2"/>
        <w:jc w:val="center"/>
      </w:pPr>
      <w:r>
        <w:rPr>
          <w:sz w:val="20"/>
        </w:rPr>
        <w:t xml:space="preserve">VI.VI. Расчет нормы доходности инвестированного капитала</w:t>
      </w:r>
    </w:p>
    <w:p>
      <w:pPr>
        <w:pStyle w:val="0"/>
        <w:jc w:val="both"/>
      </w:pPr>
      <w:r>
        <w:rPr>
          <w:sz w:val="20"/>
        </w:rPr>
      </w:r>
    </w:p>
    <w:p>
      <w:pPr>
        <w:pStyle w:val="0"/>
        <w:ind w:firstLine="540"/>
        <w:jc w:val="both"/>
      </w:pPr>
      <w:r>
        <w:rPr>
          <w:sz w:val="20"/>
        </w:rPr>
        <w:t xml:space="preserve">77. Норма доходности инвестированного капитала (далее - норма доходности) определяется органом регулирования тарифов на долгосрочный период регулирования (и в течение этого периода не пересматривается) на уровне не ниже минимальной </w:t>
      </w:r>
      <w:hyperlink w:history="0" r:id="rId256" w:tooltip="Приказ ФАС России от 16.12.2024 N 1013/24 &quot;Об установлении минимальной нормы доходности инвестированного капитала в сфере водоснабжения и водоотведения на 2025 год&quot; (Зарегистрировано в Минюсте России 23.12.2024 N 80697) {КонсультантПлюс}">
        <w:r>
          <w:rPr>
            <w:sz w:val="20"/>
            <w:color w:val="0000ff"/>
          </w:rPr>
          <w:t xml:space="preserve">нормы</w:t>
        </w:r>
      </w:hyperlink>
      <w:r>
        <w:rPr>
          <w:sz w:val="20"/>
        </w:rPr>
        <w:t xml:space="preserve"> доходности, установленной федеральным органом регулирования тарифов, в соответствии со следующей формулой:</w:t>
      </w:r>
    </w:p>
    <w:p>
      <w:pPr>
        <w:pStyle w:val="0"/>
        <w:jc w:val="both"/>
      </w:pPr>
      <w:r>
        <w:rPr>
          <w:sz w:val="20"/>
        </w:rPr>
      </w:r>
    </w:p>
    <w:p>
      <w:pPr>
        <w:pStyle w:val="0"/>
        <w:jc w:val="center"/>
      </w:pPr>
      <w:r>
        <w:rPr>
          <w:position w:val="-8"/>
        </w:rPr>
        <w:drawing>
          <wp:inline distT="0" distB="0" distL="0" distR="0">
            <wp:extent cx="1181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Pr>
          <w:sz w:val="20"/>
        </w:rPr>
        <w:t xml:space="preserve">, (25)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19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0"/>
        </w:rPr>
        <w:t xml:space="preserve"> - минимальная норма доходности;</w:t>
      </w:r>
    </w:p>
    <w:p>
      <w:pPr>
        <w:pStyle w:val="0"/>
        <w:spacing w:before="200" w:lineRule="auto"/>
        <w:ind w:firstLine="540"/>
        <w:jc w:val="both"/>
      </w:pPr>
      <w:r>
        <w:rPr>
          <w:sz w:val="20"/>
        </w:rPr>
        <w:t xml:space="preserve">ДГО - предложенное Министерством экономического развития Российской Федерации значение безрисковой ставки, равной средней доходности долгосрочных государственных обязательств, выраженных в рублях, со сроком до погашения не менее восьми лет и не более десяти лет, определяемой за год, предшествующий году принятия решения об установлении тарифов, определяемой в соответствии с </w:t>
      </w:r>
      <w:hyperlink w:history="0" r:id="rId259" w:tooltip="Приказ Минэкономразвития России от 26.07.2010 N 329 (ред. от 20.01.2017) &quot;О методике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quot; (Зарегистрировано в Минюсте России 16.08.2010 N 18169) ------------ Утратил силу или отменен {КонсультантПлюс}">
        <w:r>
          <w:rPr>
            <w:sz w:val="20"/>
            <w:color w:val="0000ff"/>
          </w:rPr>
          <w:t xml:space="preserve">Методикой</w:t>
        </w:r>
      </w:hyperlink>
      <w:r>
        <w:rPr>
          <w:sz w:val="20"/>
        </w:rPr>
        <w:t xml:space="preserve">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утвержденной приказом Минэкономразвития России от 26.07.2010 N 329 (зарегистрирован Минюстом России 16 августа 2010 г., регистрационный N 18169), с изменениями, внесенными приказом Минэкономразвития России от 21.02.2011 N 55 (зарегистрирован Минюстом России 10 марта 2011 г., регистрационный N 20032).</w:t>
      </w:r>
    </w:p>
    <w:p>
      <w:pPr>
        <w:pStyle w:val="0"/>
        <w:spacing w:before="200" w:lineRule="auto"/>
        <w:ind w:firstLine="540"/>
        <w:jc w:val="both"/>
      </w:pPr>
      <w:r>
        <w:rPr>
          <w:sz w:val="20"/>
        </w:rPr>
        <w:t xml:space="preserve">78. Норма доходности инвестированного капитала рассчитывается по формуле:</w:t>
      </w:r>
    </w:p>
    <w:p>
      <w:pPr>
        <w:pStyle w:val="0"/>
        <w:jc w:val="both"/>
      </w:pPr>
      <w:r>
        <w:rPr>
          <w:sz w:val="20"/>
        </w:rPr>
      </w:r>
    </w:p>
    <w:p>
      <w:pPr>
        <w:pStyle w:val="0"/>
        <w:jc w:val="center"/>
      </w:pPr>
      <w:r>
        <w:rPr>
          <w:position w:val="-7"/>
        </w:rPr>
        <w:drawing>
          <wp:inline distT="0" distB="0" distL="0" distR="0">
            <wp:extent cx="1609725" cy="215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1609725" cy="215900"/>
                    </a:xfrm>
                    <a:prstGeom prst="rect">
                      <a:avLst/>
                    </a:prstGeom>
                    <a:noFill/>
                    <a:ln>
                      <a:noFill/>
                    </a:ln>
                  </pic:spPr>
                </pic:pic>
              </a:graphicData>
            </a:graphic>
          </wp:inline>
        </w:drawing>
      </w:r>
      <w:r>
        <w:rPr>
          <w:sz w:val="20"/>
        </w:rPr>
        <w:t xml:space="preserve">, (26)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НД - норма доходности инвестированного капитала, процентов;</w:t>
      </w:r>
    </w:p>
    <w:p>
      <w:pPr>
        <w:pStyle w:val="0"/>
        <w:spacing w:before="200" w:lineRule="auto"/>
        <w:ind w:firstLine="540"/>
        <w:jc w:val="both"/>
      </w:pPr>
      <w:r>
        <w:rPr>
          <w:sz w:val="20"/>
        </w:rPr>
        <w:t xml:space="preserve">СЗК - стоимость заемного капитала, процентов;</w:t>
      </w:r>
    </w:p>
    <w:p>
      <w:pPr>
        <w:pStyle w:val="0"/>
        <w:spacing w:before="200" w:lineRule="auto"/>
        <w:ind w:firstLine="540"/>
        <w:jc w:val="both"/>
      </w:pPr>
      <w:r>
        <w:rPr>
          <w:sz w:val="20"/>
        </w:rPr>
        <w:t xml:space="preserve">ССК - стоимость собственного капитала, процентов.</w:t>
      </w:r>
    </w:p>
    <w:p>
      <w:pPr>
        <w:pStyle w:val="0"/>
        <w:spacing w:before="200" w:lineRule="auto"/>
        <w:ind w:firstLine="540"/>
        <w:jc w:val="both"/>
      </w:pPr>
      <w:r>
        <w:rPr>
          <w:sz w:val="20"/>
        </w:rPr>
        <w:t xml:space="preserve">79. Стоимость заемного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pPr>
        <w:pStyle w:val="0"/>
        <w:jc w:val="both"/>
      </w:pPr>
      <w:r>
        <w:rPr>
          <w:sz w:val="20"/>
        </w:rPr>
      </w:r>
    </w:p>
    <w:p>
      <w:pPr>
        <w:pStyle w:val="0"/>
        <w:jc w:val="center"/>
      </w:pPr>
      <w:r>
        <w:rPr>
          <w:position w:val="-8"/>
        </w:rPr>
        <w:drawing>
          <wp:inline distT="0" distB="0" distL="0" distR="0">
            <wp:extent cx="1270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1270000" cy="228600"/>
                    </a:xfrm>
                    <a:prstGeom prst="rect">
                      <a:avLst/>
                    </a:prstGeom>
                    <a:noFill/>
                    <a:ln>
                      <a:noFill/>
                    </a:ln>
                  </pic:spPr>
                </pic:pic>
              </a:graphicData>
            </a:graphic>
          </wp:inline>
        </w:drawing>
      </w:r>
      <w:r>
        <w:rPr>
          <w:sz w:val="20"/>
        </w:rPr>
        <w:t xml:space="preserve">, (27)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44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a:noFill/>
                    </a:ln>
                  </pic:spPr>
                </pic:pic>
              </a:graphicData>
            </a:graphic>
          </wp:inline>
        </w:drawing>
      </w:r>
      <w:r>
        <w:rPr>
          <w:sz w:val="20"/>
        </w:rPr>
        <w:t xml:space="preserve"> - премия за риск инвестирования в долговые обязательства регулируемых организаций. В первом долгосрочном периоде регулирования значение премии за кредитный риск не может быть ниже 3 процентов.</w:t>
      </w:r>
    </w:p>
    <w:p>
      <w:pPr>
        <w:pStyle w:val="0"/>
        <w:spacing w:before="200" w:lineRule="auto"/>
        <w:ind w:firstLine="540"/>
        <w:jc w:val="both"/>
      </w:pPr>
      <w:r>
        <w:rPr>
          <w:sz w:val="20"/>
        </w:rPr>
        <w:t xml:space="preserve">80. Норма доходности инвестированного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два года долгосрочного периода регулирования определяется по формулам:</w:t>
      </w:r>
    </w:p>
    <w:p>
      <w:pPr>
        <w:pStyle w:val="0"/>
        <w:jc w:val="both"/>
      </w:pPr>
      <w:r>
        <w:rPr>
          <w:sz w:val="20"/>
        </w:rPr>
      </w:r>
    </w:p>
    <w:p>
      <w:pPr>
        <w:pStyle w:val="0"/>
        <w:jc w:val="center"/>
      </w:pPr>
      <w:r>
        <w:rPr>
          <w:position w:val="-8"/>
        </w:rPr>
        <w:drawing>
          <wp:inline distT="0" distB="0" distL="0" distR="0">
            <wp:extent cx="12858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r>
        <w:rPr>
          <w:sz w:val="20"/>
        </w:rPr>
        <w:t xml:space="preserve">, (28)</w:t>
      </w:r>
    </w:p>
    <w:p>
      <w:pPr>
        <w:pStyle w:val="0"/>
        <w:jc w:val="both"/>
      </w:pPr>
      <w:r>
        <w:rPr>
          <w:sz w:val="20"/>
        </w:rPr>
      </w:r>
    </w:p>
    <w:p>
      <w:pPr>
        <w:pStyle w:val="0"/>
        <w:jc w:val="center"/>
      </w:pPr>
      <w:r>
        <w:rPr>
          <w:position w:val="-8"/>
        </w:rPr>
        <w:drawing>
          <wp:inline distT="0" distB="0" distL="0" distR="0">
            <wp:extent cx="1041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a:extLst>
                        <a:ext uri="{28A0092B-C50C-407E-A947-70E740481C1C}">
                          <a14:useLocalDpi xmlns:a14="http://schemas.microsoft.com/office/drawing/2010/main" val="0"/>
                        </a:ext>
                      </a:extLst>
                    </a:blip>
                    <a:srcRect/>
                    <a:stretch>
                      <a:fillRect/>
                    </a:stretch>
                  </pic:blipFill>
                  <pic:spPr bwMode="auto">
                    <a:xfrm>
                      <a:off x="0" y="0"/>
                      <a:ext cx="1041400" cy="228600"/>
                    </a:xfrm>
                    <a:prstGeom prst="rect">
                      <a:avLst/>
                    </a:prstGeom>
                    <a:noFill/>
                    <a:ln>
                      <a:noFill/>
                    </a:ln>
                  </pic:spPr>
                </pic:pic>
              </a:graphicData>
            </a:graphic>
          </wp:inline>
        </w:drawing>
      </w:r>
      <w:r>
        <w:rPr>
          <w:sz w:val="20"/>
        </w:rPr>
        <w:t xml:space="preserve">. (28.1)</w:t>
      </w:r>
    </w:p>
    <w:p>
      <w:pPr>
        <w:pStyle w:val="0"/>
        <w:jc w:val="both"/>
      </w:pPr>
      <w:r>
        <w:rPr>
          <w:sz w:val="20"/>
        </w:rPr>
      </w:r>
    </w:p>
    <w:p>
      <w:pPr>
        <w:pStyle w:val="0"/>
        <w:ind w:firstLine="540"/>
        <w:jc w:val="both"/>
      </w:pPr>
      <w:r>
        <w:rPr>
          <w:sz w:val="20"/>
        </w:rPr>
        <w:t xml:space="preserve">81. Стоимость собственного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pPr>
        <w:pStyle w:val="0"/>
        <w:jc w:val="both"/>
      </w:pPr>
      <w:r>
        <w:rPr>
          <w:sz w:val="20"/>
        </w:rPr>
      </w:r>
    </w:p>
    <w:p>
      <w:pPr>
        <w:pStyle w:val="0"/>
        <w:jc w:val="center"/>
      </w:pPr>
      <w:r>
        <w:rPr>
          <w:position w:val="-8"/>
        </w:rPr>
        <w:drawing>
          <wp:inline distT="0" distB="0" distL="0" distR="0">
            <wp:extent cx="12573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r>
        <w:rPr>
          <w:sz w:val="20"/>
        </w:rPr>
        <w:t xml:space="preserve">, (29)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премия за риск инвестирования в собственный капитал регулируемых организаций. Величина премии за риск инвестирования определяется органами регулирования и не может быть ниже 6% в первый долгосрочный период регулирования.</w:t>
      </w:r>
    </w:p>
    <w:p>
      <w:pPr>
        <w:pStyle w:val="0"/>
        <w:spacing w:before="200" w:lineRule="auto"/>
        <w:ind w:firstLine="540"/>
        <w:jc w:val="both"/>
      </w:pPr>
      <w:r>
        <w:rPr>
          <w:sz w:val="20"/>
        </w:rPr>
        <w:t xml:space="preserve">82. Норма доходности инвестированного капитала, применяемая в отношении регулируемой организации, может быть установлена концессионным соглашением.</w:t>
      </w:r>
    </w:p>
    <w:p>
      <w:pPr>
        <w:pStyle w:val="0"/>
        <w:spacing w:before="200" w:lineRule="auto"/>
        <w:ind w:firstLine="540"/>
        <w:jc w:val="both"/>
      </w:pPr>
      <w:r>
        <w:rPr>
          <w:sz w:val="20"/>
        </w:rPr>
        <w:t xml:space="preserve">83. Начиная с 3-го года 1-го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pPr>
        <w:pStyle w:val="0"/>
        <w:jc w:val="both"/>
      </w:pPr>
      <w:r>
        <w:rPr>
          <w:sz w:val="20"/>
        </w:rPr>
      </w:r>
    </w:p>
    <w:bookmarkStart w:id="672" w:name="P672"/>
    <w:bookmarkEnd w:id="672"/>
    <w:p>
      <w:pPr>
        <w:pStyle w:val="2"/>
        <w:outlineLvl w:val="1"/>
        <w:jc w:val="center"/>
      </w:pPr>
      <w:r>
        <w:rPr>
          <w:sz w:val="20"/>
        </w:rPr>
        <w:t xml:space="preserve">VII. Расчет необходимой валовой выручки методом индексации</w:t>
      </w:r>
    </w:p>
    <w:p>
      <w:pPr>
        <w:pStyle w:val="0"/>
        <w:jc w:val="both"/>
      </w:pPr>
      <w:r>
        <w:rPr>
          <w:sz w:val="20"/>
        </w:rPr>
      </w:r>
    </w:p>
    <w:bookmarkStart w:id="674" w:name="P674"/>
    <w:bookmarkEnd w:id="674"/>
    <w:p>
      <w:pPr>
        <w:pStyle w:val="0"/>
        <w:ind w:firstLine="540"/>
        <w:jc w:val="both"/>
      </w:pPr>
      <w:r>
        <w:rPr>
          <w:sz w:val="20"/>
        </w:rPr>
        <w:t xml:space="preserve">84.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pPr>
        <w:pStyle w:val="0"/>
        <w:spacing w:before="200" w:lineRule="auto"/>
        <w:ind w:firstLine="540"/>
        <w:jc w:val="both"/>
      </w:pPr>
      <w:r>
        <w:rPr>
          <w:sz w:val="20"/>
        </w:rPr>
        <w:t xml:space="preserve">1) базовый уровень операционных расходов;</w:t>
      </w:r>
    </w:p>
    <w:p>
      <w:pPr>
        <w:pStyle w:val="0"/>
        <w:spacing w:before="200" w:lineRule="auto"/>
        <w:ind w:firstLine="540"/>
        <w:jc w:val="both"/>
      </w:pPr>
      <w:r>
        <w:rPr>
          <w:sz w:val="20"/>
        </w:rPr>
        <w:t xml:space="preserve">2) индекс эффективности операционных расходов;</w:t>
      </w:r>
    </w:p>
    <w:p>
      <w:pPr>
        <w:pStyle w:val="0"/>
        <w:spacing w:before="200" w:lineRule="auto"/>
        <w:ind w:firstLine="540"/>
        <w:jc w:val="both"/>
      </w:pPr>
      <w:r>
        <w:rPr>
          <w:sz w:val="20"/>
        </w:rPr>
        <w:t xml:space="preserve">3) нормативный уровень прибыли;</w:t>
      </w:r>
    </w:p>
    <w:p>
      <w:pPr>
        <w:pStyle w:val="0"/>
        <w:spacing w:before="200" w:lineRule="auto"/>
        <w:ind w:firstLine="540"/>
        <w:jc w:val="both"/>
      </w:pPr>
      <w:r>
        <w:rPr>
          <w:sz w:val="20"/>
        </w:rPr>
        <w:t xml:space="preserve">4) показатели энергосбережения и энергетической эффективности (уровень потерь воды, удельный расход электрической энергии);</w:t>
      </w:r>
    </w:p>
    <w:p>
      <w:pPr>
        <w:pStyle w:val="0"/>
        <w:jc w:val="both"/>
      </w:pPr>
      <w:r>
        <w:rPr>
          <w:sz w:val="20"/>
        </w:rPr>
        <w:t xml:space="preserve">(пп. 4 в ред. </w:t>
      </w:r>
      <w:hyperlink w:history="0" r:id="rId267"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p>
      <w:pPr>
        <w:pStyle w:val="0"/>
        <w:spacing w:before="200" w:lineRule="auto"/>
        <w:ind w:firstLine="540"/>
        <w:jc w:val="both"/>
      </w:pPr>
      <w:r>
        <w:rPr>
          <w:sz w:val="20"/>
        </w:rPr>
        <w:t xml:space="preserve">5) исключен. - </w:t>
      </w:r>
      <w:hyperlink w:history="0" r:id="rId268"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w:t>
        </w:r>
      </w:hyperlink>
      <w:r>
        <w:rPr>
          <w:sz w:val="20"/>
        </w:rPr>
        <w:t xml:space="preserve"> ФСТ России от 24.11.2014 N 2054-э.</w:t>
      </w:r>
    </w:p>
    <w:p>
      <w:pPr>
        <w:pStyle w:val="0"/>
        <w:spacing w:before="200" w:lineRule="auto"/>
        <w:ind w:firstLine="540"/>
        <w:jc w:val="both"/>
      </w:pPr>
      <w:r>
        <w:rPr>
          <w:sz w:val="20"/>
        </w:rPr>
        <w:t xml:space="preserve">85. При установлении тарифов с применением метода индексации до начала очередного долгосрочного периода регулирования необходимая валовая выручка регулируемой организации рассчитывается отдельно на каждый i-й расчетный период регулирования долгосрочного периода регулирования по формуле:</w:t>
      </w:r>
    </w:p>
    <w:p>
      <w:pPr>
        <w:pStyle w:val="0"/>
        <w:jc w:val="both"/>
      </w:pPr>
      <w:r>
        <w:rPr>
          <w:sz w:val="20"/>
        </w:rPr>
        <w:t xml:space="preserve">(в ред. </w:t>
      </w:r>
      <w:hyperlink w:history="0" r:id="rId269"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p>
      <w:pPr>
        <w:pStyle w:val="0"/>
        <w:jc w:val="both"/>
      </w:pPr>
      <w:r>
        <w:rPr>
          <w:sz w:val="20"/>
        </w:rPr>
      </w:r>
    </w:p>
    <w:p>
      <w:pPr>
        <w:pStyle w:val="0"/>
        <w:jc w:val="center"/>
      </w:pPr>
      <w:r>
        <w:rPr>
          <w:position w:val="-8"/>
        </w:rPr>
        <w:drawing>
          <wp:inline distT="0" distB="0" distL="0" distR="0">
            <wp:extent cx="2413000" cy="2343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a:extLst>
                        <a:ext uri="{28A0092B-C50C-407E-A947-70E740481C1C}">
                          <a14:useLocalDpi xmlns:a14="http://schemas.microsoft.com/office/drawing/2010/main" val="0"/>
                        </a:ext>
                      </a:extLst>
                    </a:blip>
                    <a:srcRect/>
                    <a:stretch>
                      <a:fillRect/>
                    </a:stretch>
                  </pic:blipFill>
                  <pic:spPr bwMode="auto">
                    <a:xfrm>
                      <a:off x="0" y="0"/>
                      <a:ext cx="2413000" cy="234315"/>
                    </a:xfrm>
                    <a:prstGeom prst="rect">
                      <a:avLst/>
                    </a:prstGeom>
                    <a:noFill/>
                    <a:ln>
                      <a:noFill/>
                    </a:ln>
                  </pic:spPr>
                </pic:pic>
              </a:graphicData>
            </a:graphic>
          </wp:inline>
        </w:drawing>
      </w:r>
      <w:r>
        <w:rPr>
          <w:sz w:val="20"/>
        </w:rPr>
        <w:t xml:space="preserve">, (30)</w:t>
      </w:r>
    </w:p>
    <w:p>
      <w:pPr>
        <w:pStyle w:val="0"/>
        <w:jc w:val="both"/>
      </w:pPr>
      <w:r>
        <w:rPr>
          <w:sz w:val="20"/>
        </w:rPr>
        <w:t xml:space="preserve">(в ред. </w:t>
      </w:r>
      <w:hyperlink w:history="0" r:id="rId271"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необходимая валовая выручка, установленная на год i долгосрочного периода регулирования, тыс. руб.;</w:t>
      </w:r>
    </w:p>
    <w:p>
      <w:pPr>
        <w:pStyle w:val="0"/>
        <w:spacing w:before="200" w:lineRule="auto"/>
        <w:ind w:firstLine="540"/>
        <w:jc w:val="both"/>
      </w:pPr>
      <w:r>
        <w:rPr>
          <w:position w:val="-8"/>
        </w:rPr>
        <w:drawing>
          <wp:inline distT="0" distB="0" distL="0" distR="0">
            <wp:extent cx="254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Pr>
          <w:sz w:val="20"/>
        </w:rPr>
        <w:t xml:space="preserve"> - текущие расходы регулируемой организации, планируемые на год i, тыс. руб.;</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расходы на амортизацию основных средств и нематериальных активов в году i, тыс. руб.;</w:t>
      </w:r>
    </w:p>
    <w:p>
      <w:pPr>
        <w:pStyle w:val="0"/>
        <w:spacing w:before="200" w:lineRule="auto"/>
        <w:ind w:firstLine="540"/>
        <w:jc w:val="both"/>
      </w:pPr>
      <w:r>
        <w:rPr>
          <w:position w:val="-8"/>
        </w:rPr>
        <w:drawing>
          <wp:inline distT="0" distB="0" distL="0" distR="0">
            <wp:extent cx="279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Pr>
          <w:sz w:val="20"/>
        </w:rPr>
        <w:t xml:space="preserve"> - нормативная прибыль, установленная на год i, тыс. руб.;</w:t>
      </w:r>
    </w:p>
    <w:p>
      <w:pPr>
        <w:pStyle w:val="0"/>
        <w:spacing w:before="200" w:lineRule="auto"/>
        <w:ind w:firstLine="540"/>
        <w:jc w:val="both"/>
      </w:pPr>
      <w:r>
        <w:rPr>
          <w:position w:val="-9"/>
        </w:rPr>
        <w:drawing>
          <wp:inline distT="0" distB="0" distL="0" distR="0">
            <wp:extent cx="50038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a:extLst>
                        <a:ext uri="{28A0092B-C50C-407E-A947-70E740481C1C}">
                          <a14:useLocalDpi xmlns:a14="http://schemas.microsoft.com/office/drawing/2010/main" val="0"/>
                        </a:ext>
                      </a:extLst>
                    </a:blip>
                    <a:srcRect/>
                    <a:stretch>
                      <a:fillRect/>
                    </a:stretch>
                  </pic:blipFill>
                  <pic:spPr bwMode="auto">
                    <a:xfrm>
                      <a:off x="0" y="0"/>
                      <a:ext cx="500380" cy="253365"/>
                    </a:xfrm>
                    <a:prstGeom prst="rect">
                      <a:avLst/>
                    </a:prstGeom>
                    <a:noFill/>
                    <a:ln>
                      <a:noFill/>
                    </a:ln>
                  </pic:spPr>
                </pic:pic>
              </a:graphicData>
            </a:graphic>
          </wp:inline>
        </w:drawing>
      </w:r>
      <w:r>
        <w:rPr>
          <w:sz w:val="20"/>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w:t>
      </w:r>
      <w:hyperlink w:history="0" w:anchor="P313" w:tooltip=", (5)">
        <w:r>
          <w:rPr>
            <w:sz w:val="20"/>
            <w:color w:val="0000ff"/>
          </w:rPr>
          <w:t xml:space="preserve">формулами (5)</w:t>
        </w:r>
      </w:hyperlink>
      <w:r>
        <w:rPr>
          <w:sz w:val="20"/>
        </w:rPr>
        <w:t xml:space="preserve"> и </w:t>
      </w:r>
      <w:hyperlink w:history="0" w:anchor="P315" w:tooltip=", (6)">
        <w:r>
          <w:rPr>
            <w:sz w:val="20"/>
            <w:color w:val="0000ff"/>
          </w:rPr>
          <w:t xml:space="preserve">(6)</w:t>
        </w:r>
      </w:hyperlink>
      <w:r>
        <w:rPr>
          <w:sz w:val="20"/>
        </w:rPr>
        <w:t xml:space="preserve"> настоящих Методических указаний;</w:t>
      </w:r>
    </w:p>
    <w:p>
      <w:pPr>
        <w:pStyle w:val="0"/>
        <w:spacing w:before="200" w:lineRule="auto"/>
        <w:ind w:firstLine="540"/>
        <w:jc w:val="both"/>
      </w:pPr>
      <w:r>
        <w:rPr>
          <w:position w:val="-8"/>
        </w:rPr>
        <w:drawing>
          <wp:inline distT="0" distB="0" distL="0" distR="0">
            <wp:extent cx="336550" cy="2343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336550" cy="234315"/>
                    </a:xfrm>
                    <a:prstGeom prst="rect">
                      <a:avLst/>
                    </a:prstGeom>
                    <a:noFill/>
                    <a:ln>
                      <a:noFill/>
                    </a:ln>
                  </pic:spPr>
                </pic:pic>
              </a:graphicData>
            </a:graphic>
          </wp:inline>
        </w:drawing>
      </w:r>
      <w:r>
        <w:rPr>
          <w:sz w:val="20"/>
        </w:rPr>
        <w:t xml:space="preserve"> - расчетная предпринимательская прибыль гарантирующей организации на год i, тыс. руб.</w:t>
      </w:r>
    </w:p>
    <w:p>
      <w:pPr>
        <w:pStyle w:val="0"/>
        <w:jc w:val="both"/>
      </w:pPr>
      <w:r>
        <w:rPr>
          <w:sz w:val="20"/>
        </w:rPr>
        <w:t xml:space="preserve">(абзац введен </w:t>
      </w:r>
      <w:hyperlink w:history="0" r:id="rId278"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Приказом</w:t>
        </w:r>
      </w:hyperlink>
      <w:r>
        <w:rPr>
          <w:sz w:val="20"/>
        </w:rPr>
        <w:t xml:space="preserve"> ФСТ России от 24.11.2014 N 2054-э)</w:t>
      </w:r>
    </w:p>
    <w:bookmarkStart w:id="695" w:name="P695"/>
    <w:bookmarkEnd w:id="695"/>
    <w:p>
      <w:pPr>
        <w:pStyle w:val="0"/>
        <w:spacing w:before="200" w:lineRule="auto"/>
        <w:ind w:firstLine="540"/>
        <w:jc w:val="both"/>
      </w:pPr>
      <w:r>
        <w:rPr>
          <w:sz w:val="20"/>
        </w:rPr>
        <w:t xml:space="preserve">86. Величина нормативной прибыли на i-й год, определяется в соответствии с </w:t>
      </w:r>
      <w:hyperlink w:history="0" w:anchor="P698" w:tooltip="Ссылка на текущий документ">
        <w:r>
          <w:rPr>
            <w:sz w:val="20"/>
            <w:color w:val="0000ff"/>
          </w:rPr>
          <w:t xml:space="preserve">формулой 30.1</w:t>
        </w:r>
      </w:hyperlink>
      <w:r>
        <w:rPr>
          <w:sz w:val="20"/>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pPr>
        <w:pStyle w:val="0"/>
        <w:spacing w:before="200" w:lineRule="auto"/>
        <w:ind w:firstLine="540"/>
        <w:jc w:val="both"/>
      </w:pPr>
      <w:r>
        <w:rPr>
          <w:sz w:val="20"/>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history="0" w:anchor="P700" w:tooltip="Ссылка на текущий документ">
        <w:r>
          <w:rPr>
            <w:sz w:val="20"/>
            <w:color w:val="0000ff"/>
          </w:rPr>
          <w:t xml:space="preserve">формулой 31</w:t>
        </w:r>
      </w:hyperlink>
      <w:r>
        <w:rPr>
          <w:sz w:val="20"/>
        </w:rPr>
        <w:t xml:space="preserve"> настоящего пункта.</w:t>
      </w:r>
    </w:p>
    <w:p>
      <w:pPr>
        <w:pStyle w:val="0"/>
        <w:jc w:val="both"/>
      </w:pPr>
      <w:r>
        <w:rPr>
          <w:sz w:val="20"/>
        </w:rPr>
      </w:r>
    </w:p>
    <w:bookmarkStart w:id="698" w:name="P698"/>
    <w:bookmarkEnd w:id="698"/>
    <w:p>
      <w:pPr>
        <w:pStyle w:val="0"/>
        <w:jc w:val="center"/>
      </w:pPr>
      <w:r>
        <w:rPr>
          <w:position w:val="-9"/>
        </w:rPr>
        <w:drawing>
          <wp:inline distT="0" distB="0" distL="0" distR="0">
            <wp:extent cx="20802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a:extLst>
                        <a:ext uri="{28A0092B-C50C-407E-A947-70E740481C1C}">
                          <a14:useLocalDpi xmlns:a14="http://schemas.microsoft.com/office/drawing/2010/main" val="0"/>
                        </a:ext>
                      </a:extLst>
                    </a:blip>
                    <a:srcRect/>
                    <a:stretch>
                      <a:fillRect/>
                    </a:stretch>
                  </pic:blipFill>
                  <pic:spPr bwMode="auto">
                    <a:xfrm>
                      <a:off x="0" y="0"/>
                      <a:ext cx="2080260" cy="241300"/>
                    </a:xfrm>
                    <a:prstGeom prst="rect">
                      <a:avLst/>
                    </a:prstGeom>
                    <a:noFill/>
                    <a:ln>
                      <a:noFill/>
                    </a:ln>
                  </pic:spPr>
                </pic:pic>
              </a:graphicData>
            </a:graphic>
          </wp:inline>
        </w:drawing>
      </w:r>
    </w:p>
    <w:p>
      <w:pPr>
        <w:pStyle w:val="0"/>
        <w:jc w:val="both"/>
      </w:pPr>
      <w:r>
        <w:rPr>
          <w:sz w:val="20"/>
        </w:rPr>
      </w:r>
    </w:p>
    <w:bookmarkStart w:id="700" w:name="P700"/>
    <w:bookmarkEnd w:id="700"/>
    <w:p>
      <w:pPr>
        <w:pStyle w:val="0"/>
        <w:jc w:val="center"/>
      </w:pPr>
      <w:r>
        <w:rPr>
          <w:position w:val="-9"/>
        </w:rPr>
        <w:drawing>
          <wp:inline distT="0" distB="0" distL="0" distR="0">
            <wp:extent cx="1600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a:extLst>
                        <a:ext uri="{28A0092B-C50C-407E-A947-70E740481C1C}">
                          <a14:useLocalDpi xmlns:a14="http://schemas.microsoft.com/office/drawing/2010/main" val="0"/>
                        </a:ext>
                      </a:extLst>
                    </a:blip>
                    <a:srcRect/>
                    <a:stretch>
                      <a:fillRect/>
                    </a:stretch>
                  </pic:blipFill>
                  <pic:spPr bwMode="auto">
                    <a:xfrm>
                      <a:off x="0" y="0"/>
                      <a:ext cx="1600200" cy="241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79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Pr>
          <w:sz w:val="20"/>
        </w:rPr>
        <w:t xml:space="preserve"> - величина нормативной прибыли, тыс. руб.;</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pPr>
        <w:pStyle w:val="0"/>
        <w:spacing w:before="200" w:lineRule="auto"/>
        <w:ind w:firstLine="540"/>
        <w:jc w:val="both"/>
      </w:pPr>
      <w:r>
        <w:rPr>
          <w:position w:val="-1"/>
        </w:rPr>
        <w:drawing>
          <wp:inline distT="0" distB="0" distL="0" distR="0">
            <wp:extent cx="139700" cy="139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sz w:val="20"/>
        </w:rPr>
        <w:t xml:space="preserve"> - нормативный уровень прибыли, установленный на i-й год в соответствии с </w:t>
      </w:r>
      <w:hyperlink w:history="0" w:anchor="P674" w:tooltip="84.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w:r>
          <w:rPr>
            <w:sz w:val="20"/>
            <w:color w:val="0000ff"/>
          </w:rPr>
          <w:t xml:space="preserve">пунктом 84</w:t>
        </w:r>
      </w:hyperlink>
      <w:r>
        <w:rPr>
          <w:sz w:val="20"/>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pPr>
        <w:pStyle w:val="0"/>
        <w:spacing w:before="200" w:lineRule="auto"/>
        <w:ind w:firstLine="540"/>
        <w:jc w:val="both"/>
      </w:pPr>
      <w:r>
        <w:rPr>
          <w:position w:val="-9"/>
        </w:rPr>
        <w:drawing>
          <wp:inline distT="0" distB="0" distL="0" distR="0">
            <wp:extent cx="4851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485140" cy="241300"/>
                    </a:xfrm>
                    <a:prstGeom prst="rect">
                      <a:avLst/>
                    </a:prstGeom>
                    <a:noFill/>
                    <a:ln>
                      <a:noFill/>
                    </a:ln>
                  </pic:spPr>
                </pic:pic>
              </a:graphicData>
            </a:graphic>
          </wp:inline>
        </w:drawing>
      </w:r>
      <w:r>
        <w:rPr>
          <w:sz w:val="20"/>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pPr>
        <w:pStyle w:val="0"/>
        <w:spacing w:before="200" w:lineRule="auto"/>
        <w:ind w:firstLine="540"/>
        <w:jc w:val="both"/>
      </w:pPr>
      <w:r>
        <w:rPr>
          <w:sz w:val="20"/>
        </w:rPr>
        <w:t xml:space="preserve">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pPr>
        <w:pStyle w:val="0"/>
        <w:spacing w:before="200" w:lineRule="auto"/>
        <w:ind w:firstLine="540"/>
        <w:jc w:val="both"/>
      </w:pPr>
      <w:r>
        <w:rPr>
          <w:position w:val="-9"/>
        </w:rPr>
        <w:drawing>
          <wp:inline distT="0" distB="0" distL="0" distR="0">
            <wp:extent cx="3695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a:extLst>
                        <a:ext uri="{28A0092B-C50C-407E-A947-70E740481C1C}">
                          <a14:useLocalDpi xmlns:a14="http://schemas.microsoft.com/office/drawing/2010/main" val="0"/>
                        </a:ext>
                      </a:extLst>
                    </a:blip>
                    <a:srcRect/>
                    <a:stretch>
                      <a:fillRect/>
                    </a:stretch>
                  </pic:blipFill>
                  <pic:spPr bwMode="auto">
                    <a:xfrm>
                      <a:off x="0" y="0"/>
                      <a:ext cx="369570" cy="241300"/>
                    </a:xfrm>
                    <a:prstGeom prst="rect">
                      <a:avLst/>
                    </a:prstGeom>
                    <a:noFill/>
                    <a:ln>
                      <a:noFill/>
                    </a:ln>
                  </pic:spPr>
                </pic:pic>
              </a:graphicData>
            </a:graphic>
          </wp:inline>
        </w:drawing>
      </w:r>
      <w:r>
        <w:rPr>
          <w:sz w:val="20"/>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w:history="0" r:id="rId286"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пункта 15</w:t>
        </w:r>
      </w:hyperlink>
      <w:r>
        <w:rPr>
          <w:sz w:val="20"/>
        </w:rPr>
        <w:t xml:space="preserve"> Основ ценообразования, тыс. руб.;</w:t>
      </w:r>
    </w:p>
    <w:p>
      <w:pPr>
        <w:pStyle w:val="0"/>
        <w:spacing w:before="200" w:lineRule="auto"/>
        <w:ind w:firstLine="540"/>
        <w:jc w:val="both"/>
      </w:pPr>
      <w:r>
        <w:rPr>
          <w:sz w:val="20"/>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w:history="0" r:id="rId28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тыс. руб.</w:t>
      </w:r>
    </w:p>
    <w:p>
      <w:pPr>
        <w:pStyle w:val="0"/>
        <w:jc w:val="both"/>
      </w:pPr>
      <w:r>
        <w:rPr>
          <w:sz w:val="20"/>
        </w:rPr>
        <w:t xml:space="preserve">(п. 86 в ред. </w:t>
      </w:r>
      <w:hyperlink w:history="0" r:id="rId288"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bookmarkStart w:id="711" w:name="P711"/>
    <w:bookmarkEnd w:id="711"/>
    <w:p>
      <w:pPr>
        <w:pStyle w:val="0"/>
        <w:spacing w:before="200" w:lineRule="auto"/>
        <w:ind w:firstLine="540"/>
        <w:jc w:val="both"/>
      </w:pPr>
      <w:r>
        <w:rPr>
          <w:sz w:val="20"/>
        </w:rPr>
        <w:t xml:space="preserve">86(1).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history="0" w:anchor="P723" w:tooltip="88. Величина текущих расходов регулируемой организации определяется в соответствии с главой VI.I настоящих Методических указаний с учетом того, что неподконтрольные расходы включают в себя помимо расходов, указанных в пункте 49 настоящих Методических указаний, также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настоящих Методических указаний.">
        <w:r>
          <w:rPr>
            <w:sz w:val="20"/>
            <w:color w:val="0000ff"/>
          </w:rPr>
          <w:t xml:space="preserve">пунктом 88</w:t>
        </w:r>
      </w:hyperlink>
      <w:r>
        <w:rPr>
          <w:sz w:val="20"/>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w:history="0" r:id="rId289"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пунктом 78(1)</w:t>
        </w:r>
      </w:hyperlink>
      <w:r>
        <w:rPr>
          <w:sz w:val="20"/>
        </w:rPr>
        <w:t xml:space="preserve"> Основ ценообразования.</w:t>
      </w:r>
    </w:p>
    <w:p>
      <w:pPr>
        <w:pStyle w:val="0"/>
        <w:jc w:val="both"/>
      </w:pPr>
      <w:r>
        <w:rPr>
          <w:sz w:val="20"/>
        </w:rPr>
        <w:t xml:space="preserve">(в ред. </w:t>
      </w:r>
      <w:hyperlink w:history="0" r:id="rId290" w:tooltip="Приказ ФАС России от 29.08.2017 N 1130/17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1.09.2017 N 48267) {КонсультантПлюс}">
        <w:r>
          <w:rPr>
            <w:sz w:val="20"/>
            <w:color w:val="0000ff"/>
          </w:rPr>
          <w:t xml:space="preserve">Приказа</w:t>
        </w:r>
      </w:hyperlink>
      <w:r>
        <w:rPr>
          <w:sz w:val="20"/>
        </w:rPr>
        <w:t xml:space="preserve"> ФАС России от 29.08.2017 N 1130/17)</w:t>
      </w:r>
    </w:p>
    <w:p>
      <w:pPr>
        <w:pStyle w:val="0"/>
        <w:spacing w:before="200" w:lineRule="auto"/>
        <w:ind w:firstLine="540"/>
        <w:jc w:val="both"/>
      </w:pPr>
      <w:r>
        <w:rPr>
          <w:sz w:val="20"/>
        </w:rPr>
        <w:t xml:space="preserve">Абзацы второй - третий утратили силу. - </w:t>
      </w:r>
      <w:hyperlink w:history="0" r:id="rId291" w:tooltip="Приказ ФАС России от 29.08.2017 N 1130/17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1.09.2017 N 48267) {КонсультантПлюс}">
        <w:r>
          <w:rPr>
            <w:sz w:val="20"/>
            <w:color w:val="0000ff"/>
          </w:rPr>
          <w:t xml:space="preserve">Приказ</w:t>
        </w:r>
      </w:hyperlink>
      <w:r>
        <w:rPr>
          <w:sz w:val="20"/>
        </w:rPr>
        <w:t xml:space="preserve"> ФАС России от 29.08.2017 N 1130/17.</w:t>
      </w:r>
    </w:p>
    <w:p>
      <w:pPr>
        <w:pStyle w:val="0"/>
        <w:spacing w:before="200" w:lineRule="auto"/>
        <w:ind w:firstLine="540"/>
        <w:jc w:val="both"/>
      </w:pPr>
      <w:r>
        <w:rPr>
          <w:sz w:val="20"/>
        </w:rPr>
        <w:t xml:space="preserve">Расчетная предпринимательская прибыль гарантирующей организации рассчитывается по формуле:</w:t>
      </w:r>
    </w:p>
    <w:p>
      <w:pPr>
        <w:pStyle w:val="0"/>
        <w:jc w:val="both"/>
      </w:pPr>
      <w:r>
        <w:rPr>
          <w:sz w:val="20"/>
        </w:rPr>
      </w:r>
    </w:p>
    <w:p>
      <w:pPr>
        <w:pStyle w:val="0"/>
        <w:jc w:val="center"/>
      </w:pPr>
      <w:r>
        <w:rPr>
          <w:position w:val="-10"/>
        </w:rPr>
        <w:drawing>
          <wp:inline distT="0" distB="0" distL="0" distR="0">
            <wp:extent cx="17018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1701800" cy="259080"/>
                    </a:xfrm>
                    <a:prstGeom prst="rect">
                      <a:avLst/>
                    </a:prstGeom>
                    <a:noFill/>
                    <a:ln>
                      <a:noFill/>
                    </a:ln>
                  </pic:spPr>
                </pic:pic>
              </a:graphicData>
            </a:graphic>
          </wp:inline>
        </w:drawing>
      </w:r>
      <w:r>
        <w:rPr>
          <w:sz w:val="20"/>
        </w:rPr>
        <w:t xml:space="preserve">, (31.1)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5"/>
        </w:rPr>
        <w:drawing>
          <wp:inline distT="0" distB="0" distL="0" distR="0">
            <wp:extent cx="259715" cy="196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259715" cy="196215"/>
                    </a:xfrm>
                    <a:prstGeom prst="rect">
                      <a:avLst/>
                    </a:prstGeom>
                    <a:noFill/>
                    <a:ln>
                      <a:noFill/>
                    </a:ln>
                  </pic:spPr>
                </pic:pic>
              </a:graphicData>
            </a:graphic>
          </wp:inline>
        </w:drawing>
      </w:r>
      <w:r>
        <w:rPr>
          <w:sz w:val="20"/>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pPr>
        <w:pStyle w:val="0"/>
        <w:spacing w:before="200" w:lineRule="auto"/>
        <w:ind w:firstLine="540"/>
        <w:jc w:val="both"/>
      </w:pPr>
      <w:r>
        <w:rPr>
          <w:position w:val="-8"/>
        </w:rPr>
        <w:drawing>
          <wp:inline distT="0" distB="0" distL="0" distR="0">
            <wp:extent cx="2590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sz w:val="20"/>
        </w:rPr>
        <w:t xml:space="preserve"> - расходы на выплаты по договорам займа и кредитным договорам, включая возврат сумм основного долга и процентов по ним, тыс. руб.</w:t>
      </w:r>
    </w:p>
    <w:p>
      <w:pPr>
        <w:pStyle w:val="0"/>
        <w:jc w:val="both"/>
      </w:pPr>
      <w:r>
        <w:rPr>
          <w:sz w:val="20"/>
        </w:rPr>
        <w:t xml:space="preserve">(п. 86(1) введен </w:t>
      </w:r>
      <w:hyperlink w:history="0" r:id="rId295"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Приказом</w:t>
        </w:r>
      </w:hyperlink>
      <w:r>
        <w:rPr>
          <w:sz w:val="20"/>
        </w:rPr>
        <w:t xml:space="preserve"> ФСТ России от 24.11.2014 N 2054-э)</w:t>
      </w:r>
    </w:p>
    <w:p>
      <w:pPr>
        <w:pStyle w:val="0"/>
        <w:spacing w:before="200" w:lineRule="auto"/>
        <w:ind w:firstLine="540"/>
        <w:jc w:val="both"/>
      </w:pPr>
      <w:r>
        <w:rPr>
          <w:sz w:val="20"/>
        </w:rPr>
        <w:t xml:space="preserve">87.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w:t>
      </w:r>
    </w:p>
    <w:bookmarkStart w:id="723" w:name="P723"/>
    <w:bookmarkEnd w:id="723"/>
    <w:p>
      <w:pPr>
        <w:pStyle w:val="0"/>
        <w:spacing w:before="200" w:lineRule="auto"/>
        <w:ind w:firstLine="540"/>
        <w:jc w:val="both"/>
      </w:pPr>
      <w:r>
        <w:rPr>
          <w:sz w:val="20"/>
        </w:rPr>
        <w:t xml:space="preserve">88. Величина текущих расходов регулируемой организации определяется в соответствии с </w:t>
      </w:r>
      <w:hyperlink w:history="0" w:anchor="P334" w:tooltip="VI.I. Расчет текущих расходов">
        <w:r>
          <w:rPr>
            <w:sz w:val="20"/>
            <w:color w:val="0000ff"/>
          </w:rPr>
          <w:t xml:space="preserve">главой VI.I</w:t>
        </w:r>
      </w:hyperlink>
      <w:r>
        <w:rPr>
          <w:sz w:val="20"/>
        </w:rPr>
        <w:t xml:space="preserve"> настоящих Методических указаний с учетом того, что неподконтрольные расходы включают в себя помимо расходов, указанных в </w:t>
      </w:r>
      <w:hyperlink w:history="0" w:anchor="P387" w:tooltip="49. Неподконтрольные расходы включают в себя:">
        <w:r>
          <w:rPr>
            <w:sz w:val="20"/>
            <w:color w:val="0000ff"/>
          </w:rPr>
          <w:t xml:space="preserve">пункте 49</w:t>
        </w:r>
      </w:hyperlink>
      <w:r>
        <w:rPr>
          <w:sz w:val="20"/>
        </w:rPr>
        <w:t xml:space="preserve"> настоящих Методических указаний, также расходы на выплаты по договорам займа и кредитным договорам, включая возврат сумм основного долга и проценты по ним, с учетом положений, предусмотренных </w:t>
      </w:r>
      <w:hyperlink w:history="0" w:anchor="P161" w:tooltip="20.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w:r>
          <w:rPr>
            <w:sz w:val="20"/>
            <w:color w:val="0000ff"/>
          </w:rPr>
          <w:t xml:space="preserve">пунктом 20</w:t>
        </w:r>
      </w:hyperlink>
      <w:r>
        <w:rPr>
          <w:sz w:val="20"/>
        </w:rPr>
        <w:t xml:space="preserve"> настоящих Методических указаний.</w:t>
      </w:r>
    </w:p>
    <w:p>
      <w:pPr>
        <w:pStyle w:val="0"/>
        <w:spacing w:before="200" w:lineRule="auto"/>
        <w:ind w:firstLine="540"/>
        <w:jc w:val="both"/>
      </w:pPr>
      <w:r>
        <w:rPr>
          <w:sz w:val="20"/>
        </w:rPr>
        <w:t xml:space="preserve">Расходы на обслуживание займов и кредитов, необходимых для пополнения оборотного капитала, могут быть установлены на долгосрочный период регулирования в размере, равном чистому оборотному капиталу, рассчитанному в соответствии с </w:t>
      </w:r>
      <w:hyperlink w:history="0" w:anchor="P628" w:tooltip=", (24)">
        <w:r>
          <w:rPr>
            <w:sz w:val="20"/>
            <w:color w:val="0000ff"/>
          </w:rPr>
          <w:t xml:space="preserve">формулой (24)</w:t>
        </w:r>
      </w:hyperlink>
      <w:r>
        <w:rPr>
          <w:sz w:val="20"/>
        </w:rPr>
        <w:t xml:space="preserve"> настоящих Методических указаний.</w:t>
      </w:r>
    </w:p>
    <w:p>
      <w:pPr>
        <w:pStyle w:val="0"/>
        <w:spacing w:before="200" w:lineRule="auto"/>
        <w:ind w:firstLine="540"/>
        <w:jc w:val="both"/>
      </w:pPr>
      <w:r>
        <w:rPr>
          <w:sz w:val="20"/>
        </w:rPr>
        <w:t xml:space="preserve">Расходы на обслуживание займов и кредитов, привлекаемых с целью реализации инвестиционной программы регулируемой организации, определяются в соответствии с объемами, предусмотренными в источниках финансирования инвестиционной программы.</w:t>
      </w:r>
    </w:p>
    <w:p>
      <w:pPr>
        <w:pStyle w:val="0"/>
        <w:spacing w:before="200" w:lineRule="auto"/>
        <w:ind w:firstLine="540"/>
        <w:jc w:val="both"/>
      </w:pPr>
      <w:r>
        <w:rPr>
          <w:sz w:val="20"/>
        </w:rPr>
        <w:t xml:space="preserve">89.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hyperlink w:history="0" w:anchor="P207" w:tooltip="28.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28</w:t>
        </w:r>
      </w:hyperlink>
      <w:r>
        <w:rPr>
          <w:sz w:val="20"/>
        </w:rPr>
        <w:t xml:space="preserve"> настоящих Методических указаний.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VII. Корректировка необходимой валовой выручки</w:t>
      </w:r>
    </w:p>
    <w:p>
      <w:pPr>
        <w:pStyle w:val="0"/>
        <w:jc w:val="both"/>
      </w:pPr>
      <w:r>
        <w:rPr>
          <w:sz w:val="20"/>
        </w:rPr>
      </w:r>
    </w:p>
    <w:p>
      <w:pPr>
        <w:pStyle w:val="0"/>
        <w:ind w:firstLine="540"/>
        <w:jc w:val="both"/>
      </w:pPr>
      <w:r>
        <w:rPr>
          <w:sz w:val="20"/>
        </w:rPr>
        <w:t xml:space="preserve">90. В целях корректировки долгосрочного тарифа, установленного с применением метода доходности инвестированного капитала или метода индексации, в соответствии с </w:t>
      </w:r>
      <w:hyperlink w:history="0" r:id="rId296"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пунктом 73</w:t>
        </w:r>
      </w:hyperlink>
      <w:r>
        <w:rPr>
          <w:sz w:val="20"/>
        </w:rPr>
        <w:t xml:space="preserve"> Основ ценообразования орган регулирования тарифов ежегодно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pPr>
        <w:pStyle w:val="0"/>
        <w:spacing w:before="200" w:lineRule="auto"/>
        <w:ind w:firstLine="540"/>
        <w:jc w:val="both"/>
      </w:pPr>
      <w:r>
        <w:rPr>
          <w:sz w:val="20"/>
        </w:rPr>
        <w:t xml:space="preserve">Корректировка необходимой валовой выручки осуществляется по </w:t>
      </w:r>
      <w:hyperlink w:history="0" w:anchor="P738" w:tooltip=" (32)">
        <w:r>
          <w:rPr>
            <w:sz w:val="20"/>
            <w:color w:val="0000ff"/>
          </w:rPr>
          <w:t xml:space="preserve">формулам 32</w:t>
        </w:r>
      </w:hyperlink>
      <w:r>
        <w:rPr>
          <w:sz w:val="20"/>
        </w:rPr>
        <w:t xml:space="preserve"> и </w:t>
      </w:r>
      <w:hyperlink w:history="0" w:anchor="P735" w:tooltip=" (32.1)">
        <w:r>
          <w:rPr>
            <w:sz w:val="20"/>
            <w:color w:val="0000ff"/>
          </w:rPr>
          <w:t xml:space="preserve">32.1</w:t>
        </w:r>
      </w:hyperlink>
      <w:r>
        <w:rPr>
          <w:sz w:val="20"/>
        </w:rPr>
        <w:t xml:space="preserve">. При этом </w:t>
      </w:r>
      <w:hyperlink w:history="0" w:anchor="P738" w:tooltip=" (32)">
        <w:r>
          <w:rPr>
            <w:sz w:val="20"/>
            <w:color w:val="0000ff"/>
          </w:rPr>
          <w:t xml:space="preserve">формула 32</w:t>
        </w:r>
      </w:hyperlink>
      <w:r>
        <w:rPr>
          <w:sz w:val="20"/>
        </w:rPr>
        <w:t xml:space="preserve"> применяется при корректировке необходимой валовой выручки регулируемой организации и тарифов, установленных с применением метода индексации, </w:t>
      </w:r>
      <w:hyperlink w:history="0" w:anchor="P735" w:tooltip=" (32.1)">
        <w:r>
          <w:rPr>
            <w:sz w:val="20"/>
            <w:color w:val="0000ff"/>
          </w:rPr>
          <w:t xml:space="preserve">формула 32.1</w:t>
        </w:r>
      </w:hyperlink>
      <w:r>
        <w:rPr>
          <w:sz w:val="20"/>
        </w:rPr>
        <w:t xml:space="preserve"> - с применением метода доходности инвестированного капитала.</w:t>
      </w:r>
    </w:p>
    <w:p>
      <w:pPr>
        <w:pStyle w:val="0"/>
        <w:jc w:val="both"/>
      </w:pPr>
      <w:r>
        <w:rPr>
          <w:sz w:val="20"/>
        </w:rPr>
      </w:r>
    </w:p>
    <w:bookmarkStart w:id="735" w:name="P735"/>
    <w:bookmarkEnd w:id="735"/>
    <w:p>
      <w:pPr>
        <w:pStyle w:val="0"/>
        <w:jc w:val="center"/>
      </w:pPr>
      <w:r>
        <w:rPr>
          <w:position w:val="-8"/>
        </w:rPr>
        <w:drawing>
          <wp:inline distT="0" distB="0" distL="0" distR="0">
            <wp:extent cx="5038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5038725" cy="238125"/>
                    </a:xfrm>
                    <a:prstGeom prst="rect">
                      <a:avLst/>
                    </a:prstGeom>
                    <a:noFill/>
                    <a:ln>
                      <a:noFill/>
                    </a:ln>
                  </pic:spPr>
                </pic:pic>
              </a:graphicData>
            </a:graphic>
          </wp:inline>
        </w:drawing>
      </w:r>
      <w:r>
        <w:rPr>
          <w:sz w:val="20"/>
        </w:rPr>
        <w:t xml:space="preserve"> (32.1)</w:t>
      </w:r>
    </w:p>
    <w:p>
      <w:pPr>
        <w:pStyle w:val="0"/>
        <w:jc w:val="both"/>
      </w:pPr>
      <w:r>
        <w:rPr>
          <w:sz w:val="20"/>
        </w:rPr>
        <w:t xml:space="preserve">(в ред. </w:t>
      </w:r>
      <w:hyperlink w:history="0" r:id="rId298" w:tooltip="Приказ ФАС России от 27.05.2024 N 363/24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 декабря 2013 г. N 1746-э&quot; (Зарегистрировано в Минюсте России 03.09.2024 N 79377) {КонсультантПлюс}">
        <w:r>
          <w:rPr>
            <w:sz w:val="20"/>
            <w:color w:val="0000ff"/>
          </w:rPr>
          <w:t xml:space="preserve">Приказа</w:t>
        </w:r>
      </w:hyperlink>
      <w:r>
        <w:rPr>
          <w:sz w:val="20"/>
        </w:rPr>
        <w:t xml:space="preserve"> ФАС России от 27.05.2024 N 363/24)</w:t>
      </w:r>
    </w:p>
    <w:p>
      <w:pPr>
        <w:pStyle w:val="0"/>
        <w:jc w:val="both"/>
      </w:pPr>
      <w:r>
        <w:rPr>
          <w:sz w:val="20"/>
        </w:rPr>
      </w:r>
    </w:p>
    <w:bookmarkStart w:id="738" w:name="P738"/>
    <w:bookmarkEnd w:id="738"/>
    <w:p>
      <w:pPr>
        <w:pStyle w:val="0"/>
        <w:jc w:val="center"/>
      </w:pPr>
      <w:r>
        <w:rPr>
          <w:position w:val="-8"/>
        </w:rPr>
        <w:drawing>
          <wp:inline distT="0" distB="0" distL="0" distR="0">
            <wp:extent cx="5953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a:extLst>
                        <a:ext uri="{28A0092B-C50C-407E-A947-70E740481C1C}">
                          <a14:useLocalDpi xmlns:a14="http://schemas.microsoft.com/office/drawing/2010/main" val="0"/>
                        </a:ext>
                      </a:extLst>
                    </a:blip>
                    <a:srcRect/>
                    <a:stretch>
                      <a:fillRect/>
                    </a:stretch>
                  </pic:blipFill>
                  <pic:spPr bwMode="auto">
                    <a:xfrm>
                      <a:off x="0" y="0"/>
                      <a:ext cx="5953125" cy="238125"/>
                    </a:xfrm>
                    <a:prstGeom prst="rect">
                      <a:avLst/>
                    </a:prstGeom>
                    <a:noFill/>
                    <a:ln>
                      <a:noFill/>
                    </a:ln>
                  </pic:spPr>
                </pic:pic>
              </a:graphicData>
            </a:graphic>
          </wp:inline>
        </w:drawing>
      </w:r>
      <w:r>
        <w:rPr>
          <w:sz w:val="20"/>
        </w:rPr>
        <w:t xml:space="preserve"> (32)</w:t>
      </w:r>
    </w:p>
    <w:p>
      <w:pPr>
        <w:pStyle w:val="0"/>
        <w:jc w:val="both"/>
      </w:pPr>
      <w:r>
        <w:rPr>
          <w:sz w:val="20"/>
        </w:rPr>
        <w:t xml:space="preserve">(в ред. </w:t>
      </w:r>
      <w:hyperlink w:history="0" r:id="rId300" w:tooltip="Приказ ФАС России от 27.05.2024 N 363/24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 декабря 2013 г. N 1746-э&quot; (Зарегистрировано в Минюсте России 03.09.2024 N 79377) {КонсультантПлюс}">
        <w:r>
          <w:rPr>
            <w:sz w:val="20"/>
            <w:color w:val="0000ff"/>
          </w:rPr>
          <w:t xml:space="preserve">Приказа</w:t>
        </w:r>
      </w:hyperlink>
      <w:r>
        <w:rPr>
          <w:sz w:val="20"/>
        </w:rPr>
        <w:t xml:space="preserve"> ФАС России от 27.05.2024 N 363/24)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4640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446405" cy="241300"/>
                    </a:xfrm>
                    <a:prstGeom prst="rect">
                      <a:avLst/>
                    </a:prstGeom>
                    <a:noFill/>
                    <a:ln>
                      <a:noFill/>
                    </a:ln>
                  </pic:spPr>
                </pic:pic>
              </a:graphicData>
            </a:graphic>
          </wp:inline>
        </w:drawing>
      </w:r>
      <w:r>
        <w:rPr>
          <w:sz w:val="20"/>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pPr>
        <w:pStyle w:val="0"/>
        <w:spacing w:before="200" w:lineRule="auto"/>
        <w:ind w:firstLine="540"/>
        <w:jc w:val="both"/>
      </w:pPr>
      <w:r>
        <w:rPr>
          <w:position w:val="-9"/>
        </w:rPr>
        <w:drawing>
          <wp:inline distT="0" distB="0" distL="0" distR="0">
            <wp:extent cx="342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Pr>
          <w:sz w:val="20"/>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w:t>
      </w:r>
      <w:hyperlink w:history="0" w:anchor="P128" w:tooltip="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
        <w:r>
          <w:rPr>
            <w:sz w:val="20"/>
            <w:color w:val="0000ff"/>
          </w:rPr>
          <w:t xml:space="preserve">подпункте "в" пункта 16</w:t>
        </w:r>
      </w:hyperlink>
      <w:r>
        <w:rPr>
          <w:sz w:val="20"/>
        </w:rPr>
        <w:t xml:space="preserve"> настоящих Методических указаний) в соответствии с </w:t>
      </w:r>
      <w:hyperlink w:history="0" w:anchor="P824" w:tooltip="Ссылка на текущий документ">
        <w:r>
          <w:rPr>
            <w:sz w:val="20"/>
            <w:color w:val="0000ff"/>
          </w:rPr>
          <w:t xml:space="preserve">формулой (39)</w:t>
        </w:r>
      </w:hyperlink>
      <w:r>
        <w:rPr>
          <w:sz w:val="20"/>
        </w:rPr>
        <w:t xml:space="preserve"> настоящих Методических указаний, тыс. руб.;</w:t>
      </w:r>
    </w:p>
    <w:p>
      <w:pPr>
        <w:pStyle w:val="0"/>
        <w:spacing w:before="200" w:lineRule="auto"/>
        <w:ind w:firstLine="540"/>
        <w:jc w:val="both"/>
      </w:pPr>
      <w:r>
        <w:rPr>
          <w:position w:val="-9"/>
        </w:rPr>
        <w:drawing>
          <wp:inline distT="0" distB="0" distL="0" distR="0">
            <wp:extent cx="3543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a:extLst>
                        <a:ext uri="{28A0092B-C50C-407E-A947-70E740481C1C}">
                          <a14:useLocalDpi xmlns:a14="http://schemas.microsoft.com/office/drawing/2010/main" val="0"/>
                        </a:ext>
                      </a:extLst>
                    </a:blip>
                    <a:srcRect/>
                    <a:stretch>
                      <a:fillRect/>
                    </a:stretch>
                  </pic:blipFill>
                  <pic:spPr bwMode="auto">
                    <a:xfrm>
                      <a:off x="0" y="0"/>
                      <a:ext cx="354330" cy="241300"/>
                    </a:xfrm>
                    <a:prstGeom prst="rect">
                      <a:avLst/>
                    </a:prstGeom>
                    <a:noFill/>
                    <a:ln>
                      <a:noFill/>
                    </a:ln>
                  </pic:spPr>
                </pic:pic>
              </a:graphicData>
            </a:graphic>
          </wp:inline>
        </w:drawing>
      </w:r>
      <w:r>
        <w:rPr>
          <w:sz w:val="20"/>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hyperlink w:history="0" w:anchor="P387" w:tooltip="49. Неподконтрольные расходы включают в себя:">
        <w:r>
          <w:rPr>
            <w:sz w:val="20"/>
            <w:color w:val="0000ff"/>
          </w:rPr>
          <w:t xml:space="preserve">пунктами 49</w:t>
        </w:r>
      </w:hyperlink>
      <w:r>
        <w:rPr>
          <w:sz w:val="20"/>
        </w:rPr>
        <w:t xml:space="preserve"> и </w:t>
      </w:r>
      <w:hyperlink w:history="0" w:anchor="P723" w:tooltip="88. Величина текущих расходов регулируемой организации определяется в соответствии с главой VI.I настоящих Методических указаний с учетом того, что неподконтрольные расходы включают в себя помимо расходов, указанных в пункте 49 настоящих Методических указаний, также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настоящих Методических указаний.">
        <w:r>
          <w:rPr>
            <w:sz w:val="20"/>
            <w:color w:val="0000ff"/>
          </w:rPr>
          <w:t xml:space="preserve">88</w:t>
        </w:r>
      </w:hyperlink>
      <w:r>
        <w:rPr>
          <w:sz w:val="20"/>
        </w:rPr>
        <w:t xml:space="preserve"> настоящих Методических указаний, тыс. руб.;</w:t>
      </w:r>
    </w:p>
    <w:p>
      <w:pPr>
        <w:pStyle w:val="0"/>
        <w:spacing w:before="200" w:lineRule="auto"/>
        <w:ind w:firstLine="540"/>
        <w:jc w:val="both"/>
      </w:pPr>
      <w:r>
        <w:rPr>
          <w:position w:val="-9"/>
        </w:rPr>
        <w:drawing>
          <wp:inline distT="0" distB="0" distL="0" distR="0">
            <wp:extent cx="33083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a:extLst>
                        <a:ext uri="{28A0092B-C50C-407E-A947-70E740481C1C}">
                          <a14:useLocalDpi xmlns:a14="http://schemas.microsoft.com/office/drawing/2010/main" val="0"/>
                        </a:ext>
                      </a:extLst>
                    </a:blip>
                    <a:srcRect/>
                    <a:stretch>
                      <a:fillRect/>
                    </a:stretch>
                  </pic:blipFill>
                  <pic:spPr bwMode="auto">
                    <a:xfrm>
                      <a:off x="0" y="0"/>
                      <a:ext cx="330835" cy="241300"/>
                    </a:xfrm>
                    <a:prstGeom prst="rect">
                      <a:avLst/>
                    </a:prstGeom>
                    <a:noFill/>
                    <a:ln>
                      <a:noFill/>
                    </a:ln>
                  </pic:spPr>
                </pic:pic>
              </a:graphicData>
            </a:graphic>
          </wp:inline>
        </w:drawing>
      </w:r>
      <w:r>
        <w:rPr>
          <w:sz w:val="20"/>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hyperlink w:history="0" w:anchor="P826" w:tooltip="Ссылка на текущий документ">
        <w:r>
          <w:rPr>
            <w:sz w:val="20"/>
            <w:color w:val="0000ff"/>
          </w:rPr>
          <w:t xml:space="preserve">формулой (39.1)</w:t>
        </w:r>
      </w:hyperlink>
      <w:r>
        <w:rPr>
          <w:sz w:val="20"/>
        </w:rPr>
        <w:t xml:space="preserve"> настоящих Методических указаний, тыс. руб.;</w:t>
      </w:r>
    </w:p>
    <w:p>
      <w:pPr>
        <w:pStyle w:val="0"/>
        <w:spacing w:before="200" w:lineRule="auto"/>
        <w:ind w:firstLine="540"/>
        <w:jc w:val="both"/>
      </w:pPr>
      <w:r>
        <w:rPr>
          <w:position w:val="-9"/>
        </w:rPr>
        <w:drawing>
          <wp:inline distT="0" distB="0" distL="0" distR="0">
            <wp:extent cx="342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Pr>
          <w:sz w:val="20"/>
        </w:rPr>
        <w:t xml:space="preserve"> - скорректированная величина нормативной прибыли на год i долгосрочного периода регулирования, определяемая в соответствии с </w:t>
      </w:r>
      <w:hyperlink w:history="0" w:anchor="P695" w:tooltip="86. Величина нормативной прибыли на i-й год, определяется в соответствии с формулой 30.1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w:r>
          <w:rPr>
            <w:sz w:val="20"/>
            <w:color w:val="0000ff"/>
          </w:rPr>
          <w:t xml:space="preserve">пунктом 86</w:t>
        </w:r>
      </w:hyperlink>
      <w:r>
        <w:rPr>
          <w:sz w:val="20"/>
        </w:rPr>
        <w:t xml:space="preserve"> настоящих Методических указаний, тыс. руб.;</w:t>
      </w:r>
    </w:p>
    <w:p>
      <w:pPr>
        <w:pStyle w:val="0"/>
        <w:spacing w:before="200" w:lineRule="auto"/>
        <w:ind w:firstLine="540"/>
        <w:jc w:val="both"/>
      </w:pPr>
      <w:r>
        <w:rPr>
          <w:position w:val="-9"/>
        </w:rPr>
        <w:drawing>
          <wp:inline distT="0" distB="0" distL="0" distR="0">
            <wp:extent cx="254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254000" cy="241300"/>
                    </a:xfrm>
                    <a:prstGeom prst="rect">
                      <a:avLst/>
                    </a:prstGeom>
                    <a:noFill/>
                    <a:ln>
                      <a:noFill/>
                    </a:ln>
                  </pic:spPr>
                </pic:pic>
              </a:graphicData>
            </a:graphic>
          </wp:inline>
        </w:drawing>
      </w:r>
      <w:r>
        <w:rPr>
          <w:sz w:val="20"/>
        </w:rPr>
        <w:t xml:space="preserve"> - скорректированная величина амортизации на год i долгосрочного периода регулирования, определяемая в соответствии с </w:t>
      </w:r>
      <w:hyperlink w:history="0" w:anchor="P207" w:tooltip="28.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28</w:t>
        </w:r>
      </w:hyperlink>
      <w:r>
        <w:rPr>
          <w:sz w:val="20"/>
        </w:rPr>
        <w:t xml:space="preserve"> настоящих Методических указаний, тыс. руб.;</w:t>
      </w:r>
    </w:p>
    <w:p>
      <w:pPr>
        <w:pStyle w:val="0"/>
        <w:spacing w:before="200" w:lineRule="auto"/>
        <w:ind w:firstLine="540"/>
        <w:jc w:val="both"/>
      </w:pPr>
      <w:r>
        <w:rPr>
          <w:position w:val="-9"/>
        </w:rPr>
        <w:drawing>
          <wp:inline distT="0" distB="0" distL="0" distR="0">
            <wp:extent cx="44640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a:extLst>
                        <a:ext uri="{28A0092B-C50C-407E-A947-70E740481C1C}">
                          <a14:useLocalDpi xmlns:a14="http://schemas.microsoft.com/office/drawing/2010/main" val="0"/>
                        </a:ext>
                      </a:extLst>
                    </a:blip>
                    <a:srcRect/>
                    <a:stretch>
                      <a:fillRect/>
                    </a:stretch>
                  </pic:blipFill>
                  <pic:spPr bwMode="auto">
                    <a:xfrm>
                      <a:off x="0" y="0"/>
                      <a:ext cx="446405" cy="241300"/>
                    </a:xfrm>
                    <a:prstGeom prst="rect">
                      <a:avLst/>
                    </a:prstGeom>
                    <a:noFill/>
                    <a:ln>
                      <a:noFill/>
                    </a:ln>
                  </pic:spPr>
                </pic:pic>
              </a:graphicData>
            </a:graphic>
          </wp:inline>
        </w:drawing>
      </w:r>
      <w:r>
        <w:rPr>
          <w:sz w:val="20"/>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hyperlink w:history="0" w:anchor="P711" w:tooltip="86(1).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
        <w:r>
          <w:rPr>
            <w:sz w:val="20"/>
            <w:color w:val="0000ff"/>
          </w:rPr>
          <w:t xml:space="preserve">пунктом 86(1)</w:t>
        </w:r>
      </w:hyperlink>
      <w:r>
        <w:rPr>
          <w:sz w:val="20"/>
        </w:rPr>
        <w:t xml:space="preserve"> настоящих Методических указаний, тыс. руб.;</w:t>
      </w:r>
    </w:p>
    <w:p>
      <w:pPr>
        <w:pStyle w:val="0"/>
        <w:spacing w:before="200" w:lineRule="auto"/>
        <w:ind w:firstLine="540"/>
        <w:jc w:val="both"/>
      </w:pPr>
      <w:r>
        <w:rPr>
          <w:position w:val="-9"/>
        </w:rPr>
        <w:drawing>
          <wp:inline distT="0" distB="0" distL="0" distR="0">
            <wp:extent cx="342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Pr>
          <w:sz w:val="20"/>
        </w:rPr>
        <w:t xml:space="preserve"> - скорректированная величина возврата инвестированного капитала на год i долгосрочного периода регулирования, определяемая в соответствии с </w:t>
      </w:r>
      <w:hyperlink w:history="0" w:anchor="P588" w:tooltip="72. 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 Размер средств, обеспечивающих возврат инвестированного капитала, который подлежит учету при установл...">
        <w:r>
          <w:rPr>
            <w:sz w:val="20"/>
            <w:color w:val="0000ff"/>
          </w:rPr>
          <w:t xml:space="preserve">пунктом 72</w:t>
        </w:r>
      </w:hyperlink>
      <w:r>
        <w:rPr>
          <w:sz w:val="20"/>
        </w:rPr>
        <w:t xml:space="preserve"> настоящих Методических указаний, тыс. руб.;</w:t>
      </w:r>
    </w:p>
    <w:p>
      <w:pPr>
        <w:pStyle w:val="0"/>
        <w:spacing w:before="200" w:lineRule="auto"/>
        <w:ind w:firstLine="540"/>
        <w:jc w:val="both"/>
      </w:pPr>
      <w:r>
        <w:rPr>
          <w:position w:val="-9"/>
        </w:rPr>
        <w:drawing>
          <wp:inline distT="0" distB="0" distL="0" distR="0">
            <wp:extent cx="342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Pr>
          <w:sz w:val="20"/>
        </w:rPr>
        <w:t xml:space="preserve"> - скорректированная величина дохода на инвестированный капитал на год i долгосрочного периода регулирования, определяемая в соответствии с </w:t>
      </w:r>
      <w:hyperlink w:history="0" w:anchor="P603" w:tooltip="74. В необходимую валовую выручку регулируемой организации на i-й год включается доход на инвестированный капитал, рассчитанный по формуле:">
        <w:r>
          <w:rPr>
            <w:sz w:val="20"/>
            <w:color w:val="0000ff"/>
          </w:rPr>
          <w:t xml:space="preserve">пунктом 74</w:t>
        </w:r>
      </w:hyperlink>
      <w:r>
        <w:rPr>
          <w:sz w:val="20"/>
        </w:rPr>
        <w:t xml:space="preserve"> настоящих Методических указаний, тыс. руб.;</w:t>
      </w:r>
    </w:p>
    <w:bookmarkStart w:id="751" w:name="P751"/>
    <w:bookmarkEnd w:id="751"/>
    <w:p>
      <w:pPr>
        <w:pStyle w:val="0"/>
        <w:spacing w:before="200" w:lineRule="auto"/>
        <w:ind w:firstLine="540"/>
        <w:jc w:val="both"/>
      </w:pPr>
      <w:r>
        <w:rPr>
          <w:position w:val="-8"/>
        </w:rPr>
        <w:drawing>
          <wp:inline distT="0" distB="0" distL="0" distR="0">
            <wp:extent cx="4286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Pr>
          <w:sz w:val="20"/>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hyperlink w:history="0" w:anchor="P780" w:tooltip="Ссылка на текущий документ">
        <w:r>
          <w:rPr>
            <w:sz w:val="20"/>
            <w:color w:val="0000ff"/>
          </w:rPr>
          <w:t xml:space="preserve">формулой (35)</w:t>
        </w:r>
      </w:hyperlink>
      <w:r>
        <w:rPr>
          <w:sz w:val="20"/>
        </w:rPr>
        <w:t xml:space="preserve"> Методических указаний, тыс. руб. Экономия инвестиционных расходов, соответствующая положениям </w:t>
      </w:r>
      <w:hyperlink w:history="0" r:id="rId311"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абзацев второго</w:t>
        </w:r>
      </w:hyperlink>
      <w:r>
        <w:rPr>
          <w:sz w:val="20"/>
        </w:rPr>
        <w:t xml:space="preserve"> - </w:t>
      </w:r>
      <w:hyperlink w:history="0" r:id="rId312"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четвертого пункта 67</w:t>
        </w:r>
      </w:hyperlink>
      <w:r>
        <w:rPr>
          <w:sz w:val="20"/>
        </w:rPr>
        <w:t xml:space="preserve"> Основ ценообразования, не уменьшает объем фактического исполнения инвестиционной программы;</w:t>
      </w:r>
    </w:p>
    <w:p>
      <w:pPr>
        <w:pStyle w:val="0"/>
        <w:jc w:val="both"/>
      </w:pPr>
      <w:r>
        <w:rPr>
          <w:sz w:val="20"/>
        </w:rPr>
        <w:t xml:space="preserve">(в ред. </w:t>
      </w:r>
      <w:hyperlink w:history="0" r:id="rId313" w:tooltip="Приказ ФАС России от 14.06.2023 N 384/23 &quot;О внесении изменений в приказы ФСТ России от 13 июня 2013 г. N 760-э и от 27 декабря 2013 г. N 1746-э&quot; (Зарегистрировано в Минюсте России 28.08.2023 N 74987) {КонсультантПлюс}">
        <w:r>
          <w:rPr>
            <w:sz w:val="20"/>
            <w:color w:val="0000ff"/>
          </w:rPr>
          <w:t xml:space="preserve">Приказа</w:t>
        </w:r>
      </w:hyperlink>
      <w:r>
        <w:rPr>
          <w:sz w:val="20"/>
        </w:rPr>
        <w:t xml:space="preserve"> ФАС России от 14.06.2023 N 384/23)</w:t>
      </w:r>
    </w:p>
    <w:bookmarkStart w:id="753" w:name="P753"/>
    <w:bookmarkEnd w:id="753"/>
    <w:p>
      <w:pPr>
        <w:pStyle w:val="0"/>
        <w:spacing w:before="200" w:lineRule="auto"/>
        <w:ind w:firstLine="540"/>
        <w:jc w:val="both"/>
      </w:pPr>
      <w:r>
        <w:rPr>
          <w:position w:val="-8"/>
        </w:rPr>
        <w:drawing>
          <wp:inline distT="0" distB="0" distL="0" distR="0">
            <wp:extent cx="4851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a:extLst>
                        <a:ext uri="{28A0092B-C50C-407E-A947-70E740481C1C}">
                          <a14:useLocalDpi xmlns:a14="http://schemas.microsoft.com/office/drawing/2010/main" val="0"/>
                        </a:ext>
                      </a:extLst>
                    </a:blip>
                    <a:srcRect/>
                    <a:stretch>
                      <a:fillRect/>
                    </a:stretch>
                  </pic:blipFill>
                  <pic:spPr bwMode="auto">
                    <a:xfrm>
                      <a:off x="0" y="0"/>
                      <a:ext cx="485140" cy="228600"/>
                    </a:xfrm>
                    <a:prstGeom prst="rect">
                      <a:avLst/>
                    </a:prstGeom>
                    <a:noFill/>
                    <a:ln>
                      <a:noFill/>
                    </a:ln>
                  </pic:spPr>
                </pic:pic>
              </a:graphicData>
            </a:graphic>
          </wp:inline>
        </w:drawing>
      </w:r>
      <w:r>
        <w:rPr>
          <w:sz w:val="20"/>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hyperlink w:history="0" w:anchor="P789" w:tooltip=", (36)">
        <w:r>
          <w:rPr>
            <w:sz w:val="20"/>
            <w:color w:val="0000ff"/>
          </w:rPr>
          <w:t xml:space="preserve">формулой (36)</w:t>
        </w:r>
      </w:hyperlink>
      <w:r>
        <w:rPr>
          <w:sz w:val="20"/>
        </w:rPr>
        <w:t xml:space="preserve"> настоящих Методических указаний, тыс. руб.;</w:t>
      </w:r>
    </w:p>
    <w:p>
      <w:pPr>
        <w:pStyle w:val="0"/>
        <w:spacing w:before="200" w:lineRule="auto"/>
        <w:ind w:firstLine="540"/>
        <w:jc w:val="both"/>
      </w:pPr>
      <w:r>
        <w:rPr>
          <w:position w:val="-8"/>
        </w:rPr>
        <w:drawing>
          <wp:inline distT="0" distB="0" distL="0" distR="0">
            <wp:extent cx="60579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a:extLst>
                        <a:ext uri="{28A0092B-C50C-407E-A947-70E740481C1C}">
                          <a14:useLocalDpi xmlns:a14="http://schemas.microsoft.com/office/drawing/2010/main" val="0"/>
                        </a:ext>
                      </a:extLst>
                    </a:blip>
                    <a:srcRect/>
                    <a:stretch>
                      <a:fillRect/>
                    </a:stretch>
                  </pic:blipFill>
                  <pic:spPr bwMode="auto">
                    <a:xfrm>
                      <a:off x="0" y="0"/>
                      <a:ext cx="605790" cy="240665"/>
                    </a:xfrm>
                    <a:prstGeom prst="rect">
                      <a:avLst/>
                    </a:prstGeom>
                    <a:noFill/>
                    <a:ln>
                      <a:noFill/>
                    </a:ln>
                  </pic:spPr>
                </pic:pic>
              </a:graphicData>
            </a:graphic>
          </wp:inline>
        </w:drawing>
      </w:r>
      <w:r>
        <w:rPr>
          <w:sz w:val="20"/>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hyperlink w:history="0" w:anchor="P309" w:tooltip="42. Необходимая валовая выручка регулируемой организации на очередной год долгосрочного периода регулирования рассчитывается по формуле:">
        <w:r>
          <w:rPr>
            <w:sz w:val="20"/>
            <w:color w:val="0000ff"/>
          </w:rPr>
          <w:t xml:space="preserve">пунктом 42</w:t>
        </w:r>
      </w:hyperlink>
      <w:r>
        <w:rPr>
          <w:sz w:val="20"/>
        </w:rPr>
        <w:t xml:space="preserve"> настоящих Методических указаний, тыс. руб.;</w:t>
      </w:r>
    </w:p>
    <w:p>
      <w:pPr>
        <w:pStyle w:val="0"/>
        <w:spacing w:before="200" w:lineRule="auto"/>
        <w:ind w:firstLine="540"/>
        <w:jc w:val="both"/>
      </w:pPr>
      <w:r>
        <w:rPr>
          <w:position w:val="-9"/>
        </w:rPr>
        <w:drawing>
          <wp:inline distT="0" distB="0" distL="0" distR="0">
            <wp:extent cx="586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586740" cy="241300"/>
                    </a:xfrm>
                    <a:prstGeom prst="rect">
                      <a:avLst/>
                    </a:prstGeom>
                    <a:noFill/>
                    <a:ln>
                      <a:noFill/>
                    </a:ln>
                  </pic:spPr>
                </pic:pic>
              </a:graphicData>
            </a:graphic>
          </wp:inline>
        </w:drawing>
      </w:r>
      <w:r>
        <w:rPr>
          <w:sz w:val="20"/>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w:t>
      </w:r>
      <w:hyperlink w:history="0" w:anchor="P761" w:tooltip="Ссылка на текущий документ">
        <w:r>
          <w:rPr>
            <w:sz w:val="20"/>
            <w:color w:val="0000ff"/>
          </w:rPr>
          <w:t xml:space="preserve">формулой (33)</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ПН - средства, начисленные регулируемой организацией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подлежащие исключению из необходимой валовой выручки регулируемой организации в порядке, предусмотренном </w:t>
      </w:r>
      <w:hyperlink w:history="0" r:id="rId317"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пунктом 26(1)</w:t>
        </w:r>
      </w:hyperlink>
      <w:r>
        <w:rPr>
          <w:sz w:val="20"/>
        </w:rPr>
        <w:t xml:space="preserve"> Основ ценообразования.</w:t>
      </w:r>
    </w:p>
    <w:p>
      <w:pPr>
        <w:pStyle w:val="0"/>
        <w:jc w:val="both"/>
      </w:pPr>
      <w:r>
        <w:rPr>
          <w:sz w:val="20"/>
        </w:rPr>
        <w:t xml:space="preserve">(абзац введен </w:t>
      </w:r>
      <w:hyperlink w:history="0" r:id="rId318" w:tooltip="Приказ ФАС России от 27.05.2024 N 363/24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 декабря 2013 г. N 1746-э&quot; (Зарегистрировано в Минюсте России 03.09.2024 N 79377) {КонсультантПлюс}">
        <w:r>
          <w:rPr>
            <w:sz w:val="20"/>
            <w:color w:val="0000ff"/>
          </w:rPr>
          <w:t xml:space="preserve">Приказом</w:t>
        </w:r>
      </w:hyperlink>
      <w:r>
        <w:rPr>
          <w:sz w:val="20"/>
        </w:rPr>
        <w:t xml:space="preserve"> ФАС России от 27.05.2024 N 363/24)</w:t>
      </w:r>
    </w:p>
    <w:p>
      <w:pPr>
        <w:pStyle w:val="0"/>
        <w:jc w:val="both"/>
      </w:pPr>
      <w:r>
        <w:rPr>
          <w:sz w:val="20"/>
        </w:rPr>
        <w:t xml:space="preserve">(п. 90 в ред. </w:t>
      </w:r>
      <w:hyperlink w:history="0" r:id="rId319"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p>
      <w:pPr>
        <w:pStyle w:val="0"/>
        <w:spacing w:before="200" w:lineRule="auto"/>
        <w:ind w:firstLine="540"/>
        <w:jc w:val="both"/>
      </w:pPr>
      <w:r>
        <w:rPr>
          <w:sz w:val="20"/>
        </w:rPr>
        <w:t xml:space="preserve">91.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history="0" w:anchor="P761" w:tooltip="Ссылка на текущий документ">
        <w:r>
          <w:rPr>
            <w:sz w:val="20"/>
            <w:color w:val="0000ff"/>
          </w:rPr>
          <w:t xml:space="preserve">формуле (33)</w:t>
        </w:r>
      </w:hyperlink>
      <w:r>
        <w:rPr>
          <w:sz w:val="20"/>
        </w:rPr>
        <w:t xml:space="preserve"> с применением данных за последний расчетный период регулирования, по которому имеются фактические значения.</w:t>
      </w:r>
    </w:p>
    <w:p>
      <w:pPr>
        <w:pStyle w:val="0"/>
        <w:jc w:val="both"/>
      </w:pPr>
      <w:r>
        <w:rPr>
          <w:sz w:val="20"/>
        </w:rPr>
      </w:r>
    </w:p>
    <w:bookmarkStart w:id="761" w:name="P761"/>
    <w:bookmarkEnd w:id="761"/>
    <w:p>
      <w:pPr>
        <w:pStyle w:val="0"/>
        <w:jc w:val="center"/>
      </w:pPr>
      <w:r>
        <w:rPr>
          <w:position w:val="-8"/>
        </w:rPr>
        <w:drawing>
          <wp:inline distT="0" distB="0" distL="0" distR="0">
            <wp:extent cx="199072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1990725" cy="24066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history="0" w:anchor="P806" w:tooltip="Ссылка на текущий документ">
        <w:r>
          <w:rPr>
            <w:sz w:val="20"/>
            <w:color w:val="0000ff"/>
          </w:rPr>
          <w:t xml:space="preserve">формулой (38)</w:t>
        </w:r>
      </w:hyperlink>
      <w:r>
        <w:rPr>
          <w:sz w:val="20"/>
        </w:rPr>
        <w:t xml:space="preserve"> настоящих Методических указаний;</w:t>
      </w:r>
    </w:p>
    <w:p>
      <w:pPr>
        <w:pStyle w:val="0"/>
        <w:spacing w:before="200" w:lineRule="auto"/>
        <w:ind w:firstLine="540"/>
        <w:jc w:val="both"/>
      </w:pPr>
      <w:r>
        <w:rPr>
          <w:position w:val="-9"/>
        </w:rPr>
        <w:drawing>
          <wp:inline distT="0" distB="0" distL="0" distR="0">
            <wp:extent cx="3695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369570" cy="241300"/>
                    </a:xfrm>
                    <a:prstGeom prst="rect">
                      <a:avLst/>
                    </a:prstGeom>
                    <a:noFill/>
                    <a:ln>
                      <a:noFill/>
                    </a:ln>
                  </pic:spPr>
                </pic:pic>
              </a:graphicData>
            </a:graphic>
          </wp:inline>
        </w:drawing>
      </w:r>
      <w:r>
        <w:rPr>
          <w:sz w:val="20"/>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pPr>
        <w:pStyle w:val="0"/>
        <w:spacing w:before="200" w:lineRule="auto"/>
        <w:ind w:firstLine="540"/>
        <w:jc w:val="both"/>
      </w:pPr>
      <w:r>
        <w:rPr>
          <w:sz w:val="20"/>
        </w:rPr>
        <w:t xml:space="preserve">В случае если на i-2 год применялся метод экономически обоснованных расходов, то </w:t>
      </w:r>
      <w:r>
        <w:rPr>
          <w:position w:val="-9"/>
        </w:rPr>
        <w:drawing>
          <wp:inline distT="0" distB="0" distL="0" distR="0">
            <wp:extent cx="586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586740" cy="241300"/>
                    </a:xfrm>
                    <a:prstGeom prst="rect">
                      <a:avLst/>
                    </a:prstGeom>
                    <a:noFill/>
                    <a:ln>
                      <a:noFill/>
                    </a:ln>
                  </pic:spPr>
                </pic:pic>
              </a:graphicData>
            </a:graphic>
          </wp:inline>
        </w:drawing>
      </w:r>
      <w:r>
        <w:rPr>
          <w:sz w:val="20"/>
        </w:rPr>
        <w:t xml:space="preserve"> определяется по </w:t>
      </w:r>
      <w:hyperlink w:history="0" w:anchor="P768" w:tooltip="Ссылка на текущий документ">
        <w:r>
          <w:rPr>
            <w:sz w:val="20"/>
            <w:color w:val="0000ff"/>
          </w:rPr>
          <w:t xml:space="preserve">формуле (33.1)</w:t>
        </w:r>
      </w:hyperlink>
    </w:p>
    <w:p>
      <w:pPr>
        <w:pStyle w:val="0"/>
        <w:jc w:val="both"/>
      </w:pPr>
      <w:r>
        <w:rPr>
          <w:sz w:val="20"/>
        </w:rPr>
      </w:r>
    </w:p>
    <w:bookmarkStart w:id="768" w:name="P768"/>
    <w:bookmarkEnd w:id="768"/>
    <w:p>
      <w:pPr>
        <w:pStyle w:val="0"/>
        <w:jc w:val="center"/>
      </w:pPr>
      <w:r>
        <w:rPr>
          <w:position w:val="-9"/>
        </w:rPr>
        <w:drawing>
          <wp:inline distT="0" distB="0" distL="0" distR="0">
            <wp:extent cx="16611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a:extLst>
                        <a:ext uri="{28A0092B-C50C-407E-A947-70E740481C1C}">
                          <a14:useLocalDpi xmlns:a14="http://schemas.microsoft.com/office/drawing/2010/main" val="0"/>
                        </a:ext>
                      </a:extLst>
                    </a:blip>
                    <a:srcRect/>
                    <a:stretch>
                      <a:fillRect/>
                    </a:stretch>
                  </pic:blipFill>
                  <pic:spPr bwMode="auto">
                    <a:xfrm>
                      <a:off x="0" y="0"/>
                      <a:ext cx="1661160" cy="241300"/>
                    </a:xfrm>
                    <a:prstGeom prst="rect">
                      <a:avLst/>
                    </a:prstGeom>
                    <a:noFill/>
                    <a:ln>
                      <a:noFill/>
                    </a:ln>
                  </pic:spPr>
                </pic:pic>
              </a:graphicData>
            </a:graphic>
          </wp:inline>
        </w:drawing>
      </w:r>
    </w:p>
    <w:p>
      <w:pPr>
        <w:pStyle w:val="0"/>
        <w:jc w:val="both"/>
      </w:pPr>
      <w:r>
        <w:rPr>
          <w:sz w:val="20"/>
        </w:rPr>
      </w:r>
    </w:p>
    <w:p>
      <w:pPr>
        <w:pStyle w:val="0"/>
        <w:jc w:val="center"/>
      </w:pPr>
      <w:r>
        <w:rPr>
          <w:position w:val="-9"/>
        </w:rPr>
        <w:drawing>
          <wp:inline distT="0" distB="0" distL="0" distR="0">
            <wp:extent cx="20726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a:extLst>
                        <a:ext uri="{28A0092B-C50C-407E-A947-70E740481C1C}">
                          <a14:useLocalDpi xmlns:a14="http://schemas.microsoft.com/office/drawing/2010/main" val="0"/>
                        </a:ext>
                      </a:extLst>
                    </a:blip>
                    <a:srcRect/>
                    <a:stretch>
                      <a:fillRect/>
                    </a:stretch>
                  </pic:blipFill>
                  <pic:spPr bwMode="auto">
                    <a:xfrm>
                      <a:off x="0" y="0"/>
                      <a:ext cx="2072640" cy="241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33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Pr>
          <w:sz w:val="20"/>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pPr>
        <w:pStyle w:val="0"/>
        <w:spacing w:before="200" w:lineRule="auto"/>
        <w:ind w:firstLine="540"/>
        <w:jc w:val="both"/>
      </w:pPr>
      <w:r>
        <w:rPr>
          <w:position w:val="-9"/>
        </w:rPr>
        <w:drawing>
          <wp:inline distT="0" distB="0" distL="0" distR="0">
            <wp:extent cx="42989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a:extLst>
                        <a:ext uri="{28A0092B-C50C-407E-A947-70E740481C1C}">
                          <a14:useLocalDpi xmlns:a14="http://schemas.microsoft.com/office/drawing/2010/main" val="0"/>
                        </a:ext>
                      </a:extLst>
                    </a:blip>
                    <a:srcRect/>
                    <a:stretch>
                      <a:fillRect/>
                    </a:stretch>
                  </pic:blipFill>
                  <pic:spPr bwMode="auto">
                    <a:xfrm>
                      <a:off x="0" y="0"/>
                      <a:ext cx="429895" cy="241300"/>
                    </a:xfrm>
                    <a:prstGeom prst="rect">
                      <a:avLst/>
                    </a:prstGeom>
                    <a:noFill/>
                    <a:ln>
                      <a:noFill/>
                    </a:ln>
                  </pic:spPr>
                </pic:pic>
              </a:graphicData>
            </a:graphic>
          </wp:inline>
        </w:drawing>
      </w:r>
      <w:r>
        <w:rPr>
          <w:sz w:val="20"/>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pPr>
        <w:pStyle w:val="0"/>
        <w:spacing w:before="200" w:lineRule="auto"/>
        <w:ind w:firstLine="540"/>
        <w:jc w:val="both"/>
      </w:pP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pPr>
        <w:pStyle w:val="0"/>
        <w:jc w:val="both"/>
      </w:pPr>
      <w:r>
        <w:rPr>
          <w:sz w:val="20"/>
        </w:rPr>
        <w:t xml:space="preserve">(п. 91 в ред. </w:t>
      </w:r>
      <w:hyperlink w:history="0" r:id="rId329"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p>
      <w:pPr>
        <w:pStyle w:val="0"/>
        <w:spacing w:before="200" w:lineRule="auto"/>
        <w:ind w:firstLine="540"/>
        <w:jc w:val="both"/>
      </w:pPr>
      <w:r>
        <w:rPr>
          <w:sz w:val="20"/>
        </w:rPr>
        <w:t xml:space="preserve">91. Утратил силу. - </w:t>
      </w:r>
      <w:hyperlink w:history="0" r:id="rId330"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w:t>
        </w:r>
      </w:hyperlink>
      <w:r>
        <w:rPr>
          <w:sz w:val="20"/>
        </w:rPr>
        <w:t xml:space="preserve"> ФАС России от 29.10.2019 N 1438/19.</w:t>
      </w:r>
    </w:p>
    <w:bookmarkStart w:id="778" w:name="P778"/>
    <w:bookmarkEnd w:id="778"/>
    <w:p>
      <w:pPr>
        <w:pStyle w:val="0"/>
        <w:spacing w:before="200" w:lineRule="auto"/>
        <w:ind w:firstLine="540"/>
        <w:jc w:val="both"/>
      </w:pPr>
      <w:r>
        <w:rPr>
          <w:sz w:val="20"/>
        </w:rPr>
        <w:t xml:space="preserve">92.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pPr>
        <w:pStyle w:val="0"/>
        <w:jc w:val="both"/>
      </w:pPr>
      <w:r>
        <w:rPr>
          <w:sz w:val="20"/>
        </w:rPr>
      </w:r>
    </w:p>
    <w:bookmarkStart w:id="780" w:name="P780"/>
    <w:bookmarkEnd w:id="780"/>
    <w:p>
      <w:pPr>
        <w:pStyle w:val="0"/>
        <w:jc w:val="center"/>
      </w:pPr>
      <w:r>
        <w:rPr>
          <w:position w:val="-26"/>
        </w:rPr>
        <w:drawing>
          <wp:inline distT="0" distB="0" distL="0" distR="0">
            <wp:extent cx="2171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924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a:extLst>
                        <a:ext uri="{28A0092B-C50C-407E-A947-70E740481C1C}">
                          <a14:useLocalDpi xmlns:a14="http://schemas.microsoft.com/office/drawing/2010/main" val="0"/>
                        </a:ext>
                      </a:extLst>
                    </a:blip>
                    <a:srcRect/>
                    <a:stretch>
                      <a:fillRect/>
                    </a:stretch>
                  </pic:blipFill>
                  <pic:spPr bwMode="auto">
                    <a:xfrm>
                      <a:off x="0" y="0"/>
                      <a:ext cx="392430" cy="241300"/>
                    </a:xfrm>
                    <a:prstGeom prst="rect">
                      <a:avLst/>
                    </a:prstGeom>
                    <a:noFill/>
                    <a:ln>
                      <a:noFill/>
                    </a:ln>
                  </pic:spPr>
                </pic:pic>
              </a:graphicData>
            </a:graphic>
          </wp:inline>
        </w:drawing>
      </w:r>
      <w:r>
        <w:rPr>
          <w:sz w:val="20"/>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pPr>
        <w:pStyle w:val="0"/>
        <w:spacing w:before="200" w:lineRule="auto"/>
        <w:ind w:firstLine="540"/>
        <w:jc w:val="both"/>
      </w:pPr>
      <w:r>
        <w:rPr>
          <w:position w:val="-9"/>
        </w:rPr>
        <w:drawing>
          <wp:inline distT="0" distB="0" distL="0" distR="0">
            <wp:extent cx="4076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a:extLst>
                        <a:ext uri="{28A0092B-C50C-407E-A947-70E740481C1C}">
                          <a14:useLocalDpi xmlns:a14="http://schemas.microsoft.com/office/drawing/2010/main" val="0"/>
                        </a:ext>
                      </a:extLst>
                    </a:blip>
                    <a:srcRect/>
                    <a:stretch>
                      <a:fillRect/>
                    </a:stretch>
                  </pic:blipFill>
                  <pic:spPr bwMode="auto">
                    <a:xfrm>
                      <a:off x="0" y="0"/>
                      <a:ext cx="407670" cy="241300"/>
                    </a:xfrm>
                    <a:prstGeom prst="rect">
                      <a:avLst/>
                    </a:prstGeom>
                    <a:noFill/>
                    <a:ln>
                      <a:noFill/>
                    </a:ln>
                  </pic:spPr>
                </pic:pic>
              </a:graphicData>
            </a:graphic>
          </wp:inline>
        </w:drawing>
      </w:r>
      <w:r>
        <w:rPr>
          <w:sz w:val="20"/>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pPr>
        <w:pStyle w:val="0"/>
        <w:spacing w:before="200" w:lineRule="auto"/>
        <w:ind w:firstLine="540"/>
        <w:jc w:val="both"/>
      </w:pPr>
      <w:r>
        <w:rPr>
          <w:position w:val="-9"/>
        </w:rPr>
        <w:drawing>
          <wp:inline distT="0" distB="0" distL="0" distR="0">
            <wp:extent cx="4076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407670" cy="241300"/>
                    </a:xfrm>
                    <a:prstGeom prst="rect">
                      <a:avLst/>
                    </a:prstGeom>
                    <a:noFill/>
                    <a:ln>
                      <a:noFill/>
                    </a:ln>
                  </pic:spPr>
                </pic:pic>
              </a:graphicData>
            </a:graphic>
          </wp:inline>
        </w:drawing>
      </w:r>
      <w:r>
        <w:rPr>
          <w:sz w:val="20"/>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pPr>
        <w:pStyle w:val="0"/>
        <w:jc w:val="both"/>
      </w:pPr>
      <w:r>
        <w:rPr>
          <w:sz w:val="20"/>
        </w:rPr>
        <w:t xml:space="preserve">(п. 92 в ред. </w:t>
      </w:r>
      <w:hyperlink w:history="0" r:id="rId335"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bookmarkStart w:id="787" w:name="P787"/>
    <w:bookmarkEnd w:id="787"/>
    <w:p>
      <w:pPr>
        <w:pStyle w:val="0"/>
        <w:spacing w:before="200" w:lineRule="auto"/>
        <w:ind w:firstLine="540"/>
        <w:jc w:val="both"/>
      </w:pPr>
      <w:r>
        <w:rPr>
          <w:sz w:val="20"/>
        </w:rPr>
        <w:t xml:space="preserve">93.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history="0" w:anchor="P789" w:tooltip=", (36)">
        <w:r>
          <w:rPr>
            <w:sz w:val="20"/>
            <w:color w:val="0000ff"/>
          </w:rPr>
          <w:t xml:space="preserve">формуле (36)</w:t>
        </w:r>
      </w:hyperlink>
      <w:r>
        <w:rPr>
          <w:sz w:val="20"/>
        </w:rPr>
        <w:t xml:space="preserve">.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pPr>
        <w:pStyle w:val="0"/>
        <w:jc w:val="both"/>
      </w:pPr>
      <w:r>
        <w:rPr>
          <w:sz w:val="20"/>
        </w:rPr>
      </w:r>
    </w:p>
    <w:bookmarkStart w:id="789" w:name="P789"/>
    <w:bookmarkEnd w:id="789"/>
    <w:p>
      <w:pPr>
        <w:pStyle w:val="0"/>
        <w:jc w:val="center"/>
      </w:pPr>
      <w:r>
        <w:rPr>
          <w:position w:val="-27"/>
        </w:rPr>
        <w:drawing>
          <wp:inline distT="0" distB="0" distL="0" distR="0">
            <wp:extent cx="4358640" cy="480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4358640" cy="480060"/>
                    </a:xfrm>
                    <a:prstGeom prst="rect">
                      <a:avLst/>
                    </a:prstGeom>
                    <a:noFill/>
                    <a:ln>
                      <a:noFill/>
                    </a:ln>
                  </pic:spPr>
                </pic:pic>
              </a:graphicData>
            </a:graphic>
          </wp:inline>
        </w:drawing>
      </w:r>
      <w:r>
        <w:rPr>
          <w:sz w:val="20"/>
        </w:rPr>
        <w:t xml:space="preserve">, (36)</w:t>
      </w:r>
    </w:p>
    <w:p>
      <w:pPr>
        <w:pStyle w:val="0"/>
        <w:jc w:val="both"/>
      </w:pPr>
      <w:r>
        <w:rPr>
          <w:sz w:val="20"/>
        </w:rPr>
        <w:t xml:space="preserve">(в ред. </w:t>
      </w:r>
      <w:hyperlink w:history="0" r:id="rId337"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667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0"/>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w:history="0" r:id="rId339" w:tooltip="Приказ Минстроя России от 04.04.2014 N 162/пр (ред. от 28.10.2022) &quo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quot; (Зарегистрировано в Минюсте России 23.07.2014 N 33236) {КонсультантПлюс}">
        <w:r>
          <w:rPr>
            <w:sz w:val="20"/>
            <w:color w:val="0000ff"/>
          </w:rPr>
          <w:t xml:space="preserve">порядком</w:t>
        </w:r>
      </w:hyperlink>
      <w:r>
        <w:rPr>
          <w:sz w:val="20"/>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position w:val="-8"/>
        </w:rPr>
        <w:drawing>
          <wp:inline distT="0" distB="0" distL="0" distR="0">
            <wp:extent cx="419100" cy="2343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419100" cy="234315"/>
                    </a:xfrm>
                    <a:prstGeom prst="rect">
                      <a:avLst/>
                    </a:prstGeom>
                    <a:noFill/>
                    <a:ln>
                      <a:noFill/>
                    </a:ln>
                  </pic:spPr>
                </pic:pic>
              </a:graphicData>
            </a:graphic>
          </wp:inline>
        </w:drawing>
      </w:r>
      <w:r>
        <w:rPr>
          <w:sz w:val="20"/>
        </w:rPr>
        <w:t xml:space="preserve"> - максимальный процент корректировки i-го года, определяемый следующим образом:</w:t>
      </w:r>
    </w:p>
    <w:p>
      <w:pPr>
        <w:pStyle w:val="0"/>
        <w:spacing w:before="200" w:lineRule="auto"/>
        <w:ind w:firstLine="540"/>
        <w:jc w:val="both"/>
      </w:pPr>
      <w:r>
        <w:rPr>
          <w:sz w:val="20"/>
        </w:rPr>
        <w:t xml:space="preserve">для 2015 года: </w:t>
      </w:r>
      <w:r>
        <w:rPr>
          <w:position w:val="-8"/>
        </w:rPr>
        <w:drawing>
          <wp:inline distT="0" distB="0" distL="0" distR="0">
            <wp:extent cx="495300"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495300" cy="235585"/>
                    </a:xfrm>
                    <a:prstGeom prst="rect">
                      <a:avLst/>
                    </a:prstGeom>
                    <a:noFill/>
                    <a:ln>
                      <a:noFill/>
                    </a:ln>
                  </pic:spPr>
                </pic:pic>
              </a:graphicData>
            </a:graphic>
          </wp:inline>
        </w:drawing>
      </w:r>
      <w:r>
        <w:rPr>
          <w:sz w:val="20"/>
        </w:rPr>
        <w:t xml:space="preserve"> = 1%;</w:t>
      </w:r>
    </w:p>
    <w:p>
      <w:pPr>
        <w:pStyle w:val="0"/>
        <w:spacing w:before="200" w:lineRule="auto"/>
        <w:ind w:firstLine="540"/>
        <w:jc w:val="both"/>
      </w:pPr>
      <w:r>
        <w:rPr>
          <w:sz w:val="20"/>
        </w:rPr>
        <w:t xml:space="preserve">для 2016 года: </w:t>
      </w:r>
      <w:r>
        <w:rPr>
          <w:position w:val="-8"/>
        </w:rPr>
        <w:drawing>
          <wp:inline distT="0" distB="0" distL="0" distR="0">
            <wp:extent cx="495300"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495300" cy="235585"/>
                    </a:xfrm>
                    <a:prstGeom prst="rect">
                      <a:avLst/>
                    </a:prstGeom>
                    <a:noFill/>
                    <a:ln>
                      <a:noFill/>
                    </a:ln>
                  </pic:spPr>
                </pic:pic>
              </a:graphicData>
            </a:graphic>
          </wp:inline>
        </w:drawing>
      </w:r>
      <w:r>
        <w:rPr>
          <w:sz w:val="20"/>
        </w:rPr>
        <w:t xml:space="preserve"> = 1%;</w:t>
      </w:r>
    </w:p>
    <w:p>
      <w:pPr>
        <w:pStyle w:val="0"/>
        <w:spacing w:before="200" w:lineRule="auto"/>
        <w:ind w:firstLine="540"/>
        <w:jc w:val="both"/>
      </w:pPr>
      <w:r>
        <w:rPr>
          <w:sz w:val="20"/>
        </w:rPr>
        <w:t xml:space="preserve">для 2017 года: </w:t>
      </w:r>
      <w:r>
        <w:rPr>
          <w:position w:val="-8"/>
        </w:rPr>
        <w:drawing>
          <wp:inline distT="0" distB="0" distL="0" distR="0">
            <wp:extent cx="495300"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495300" cy="235585"/>
                    </a:xfrm>
                    <a:prstGeom prst="rect">
                      <a:avLst/>
                    </a:prstGeom>
                    <a:noFill/>
                    <a:ln>
                      <a:noFill/>
                    </a:ln>
                  </pic:spPr>
                </pic:pic>
              </a:graphicData>
            </a:graphic>
          </wp:inline>
        </w:drawing>
      </w:r>
      <w:r>
        <w:rPr>
          <w:sz w:val="20"/>
        </w:rPr>
        <w:t xml:space="preserve"> = 2%;</w:t>
      </w:r>
    </w:p>
    <w:p>
      <w:pPr>
        <w:pStyle w:val="0"/>
        <w:spacing w:before="200" w:lineRule="auto"/>
        <w:ind w:firstLine="540"/>
        <w:jc w:val="both"/>
      </w:pPr>
      <w:r>
        <w:rPr>
          <w:sz w:val="20"/>
        </w:rPr>
        <w:t xml:space="preserve">начиная с 2018 года: </w:t>
      </w:r>
      <w:r>
        <w:rPr>
          <w:position w:val="-8"/>
        </w:rPr>
        <w:drawing>
          <wp:inline distT="0" distB="0" distL="0" distR="0">
            <wp:extent cx="469900" cy="2343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469900" cy="234315"/>
                    </a:xfrm>
                    <a:prstGeom prst="rect">
                      <a:avLst/>
                    </a:prstGeom>
                    <a:noFill/>
                    <a:ln>
                      <a:noFill/>
                    </a:ln>
                  </pic:spPr>
                </pic:pic>
              </a:graphicData>
            </a:graphic>
          </wp:inline>
        </w:drawing>
      </w:r>
      <w:r>
        <w:rPr>
          <w:sz w:val="20"/>
        </w:rPr>
        <w:t xml:space="preserve"> = 3%.</w:t>
      </w:r>
    </w:p>
    <w:p>
      <w:pPr>
        <w:pStyle w:val="0"/>
        <w:jc w:val="both"/>
      </w:pPr>
      <w:r>
        <w:rPr>
          <w:sz w:val="20"/>
        </w:rPr>
        <w:t xml:space="preserve">(п. 93 в ред. </w:t>
      </w:r>
      <w:hyperlink w:history="0" r:id="rId345"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p>
      <w:pPr>
        <w:pStyle w:val="0"/>
        <w:spacing w:before="200" w:lineRule="auto"/>
        <w:ind w:firstLine="540"/>
        <w:jc w:val="both"/>
      </w:pPr>
      <w:r>
        <w:rPr>
          <w:sz w:val="20"/>
        </w:rPr>
        <w:t xml:space="preserve">94. Корректировка необходимой валовой выручки, связанная с изменением доходности долгосрочных государственных обязательств, рассчитывается по следующей формуле:</w:t>
      </w:r>
    </w:p>
    <w:p>
      <w:pPr>
        <w:pStyle w:val="0"/>
        <w:jc w:val="both"/>
      </w:pPr>
      <w:r>
        <w:rPr>
          <w:sz w:val="20"/>
        </w:rPr>
      </w:r>
    </w:p>
    <w:bookmarkStart w:id="802" w:name="P802"/>
    <w:bookmarkEnd w:id="802"/>
    <w:p>
      <w:pPr>
        <w:pStyle w:val="0"/>
        <w:jc w:val="center"/>
      </w:pPr>
      <w:r>
        <w:rPr>
          <w:position w:val="-11"/>
        </w:rPr>
        <w:drawing>
          <wp:inline distT="0" distB="0" distL="0" distR="0">
            <wp:extent cx="2085975" cy="2787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2085975" cy="278765"/>
                    </a:xfrm>
                    <a:prstGeom prst="rect">
                      <a:avLst/>
                    </a:prstGeom>
                    <a:noFill/>
                    <a:ln>
                      <a:noFill/>
                    </a:ln>
                  </pic:spPr>
                </pic:pic>
              </a:graphicData>
            </a:graphic>
          </wp:inline>
        </w:drawing>
      </w:r>
      <w:r>
        <w:rPr>
          <w:sz w:val="20"/>
        </w:rPr>
        <w:t xml:space="preserve">. (37)</w:t>
      </w:r>
    </w:p>
    <w:p>
      <w:pPr>
        <w:pStyle w:val="0"/>
        <w:jc w:val="both"/>
      </w:pPr>
      <w:r>
        <w:rPr>
          <w:sz w:val="20"/>
        </w:rPr>
      </w:r>
    </w:p>
    <w:p>
      <w:pPr>
        <w:pStyle w:val="0"/>
        <w:ind w:firstLine="540"/>
        <w:jc w:val="both"/>
      </w:pPr>
      <w:r>
        <w:rPr>
          <w:sz w:val="20"/>
        </w:rPr>
        <w:t xml:space="preserve">95.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history="0" w:anchor="P808" w:tooltip="Ссылка на текущий документ">
        <w:r>
          <w:rPr>
            <w:sz w:val="20"/>
            <w:color w:val="0000ff"/>
          </w:rPr>
          <w:t xml:space="preserve">формула 38.1</w:t>
        </w:r>
      </w:hyperlink>
      <w:r>
        <w:rPr>
          <w:sz w:val="20"/>
        </w:rPr>
        <w:t xml:space="preserve">) или метода индексации (применяется </w:t>
      </w:r>
      <w:hyperlink w:history="0" w:anchor="P806" w:tooltip="Ссылка на текущий документ">
        <w:r>
          <w:rPr>
            <w:sz w:val="20"/>
            <w:color w:val="0000ff"/>
          </w:rPr>
          <w:t xml:space="preserve">формула 38</w:t>
        </w:r>
      </w:hyperlink>
      <w:r>
        <w:rPr>
          <w:sz w:val="20"/>
        </w:rPr>
        <w:t xml:space="preserve">), рассчитывается с учетом </w:t>
      </w:r>
      <w:hyperlink w:history="0" r:id="rId347"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пунктов 22</w:t>
        </w:r>
      </w:hyperlink>
      <w:r>
        <w:rPr>
          <w:sz w:val="20"/>
        </w:rPr>
        <w:t xml:space="preserve"> - </w:t>
      </w:r>
      <w:hyperlink w:history="0" r:id="rId348"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23</w:t>
        </w:r>
      </w:hyperlink>
      <w:r>
        <w:rPr>
          <w:sz w:val="20"/>
        </w:rPr>
        <w:t xml:space="preserve"> Основ ценообразования по формуле:</w:t>
      </w:r>
    </w:p>
    <w:p>
      <w:pPr>
        <w:pStyle w:val="0"/>
        <w:jc w:val="both"/>
      </w:pPr>
      <w:r>
        <w:rPr>
          <w:sz w:val="20"/>
        </w:rPr>
      </w:r>
    </w:p>
    <w:bookmarkStart w:id="806" w:name="P806"/>
    <w:bookmarkEnd w:id="806"/>
    <w:p>
      <w:pPr>
        <w:pStyle w:val="0"/>
        <w:jc w:val="center"/>
      </w:pPr>
      <w:r>
        <w:rPr>
          <w:position w:val="-8"/>
        </w:rPr>
        <w:drawing>
          <wp:inline distT="0" distB="0" distL="0" distR="0">
            <wp:extent cx="623887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6238875" cy="240665"/>
                    </a:xfrm>
                    <a:prstGeom prst="rect">
                      <a:avLst/>
                    </a:prstGeom>
                    <a:noFill/>
                    <a:ln>
                      <a:noFill/>
                    </a:ln>
                  </pic:spPr>
                </pic:pic>
              </a:graphicData>
            </a:graphic>
          </wp:inline>
        </w:drawing>
      </w:r>
    </w:p>
    <w:p>
      <w:pPr>
        <w:pStyle w:val="0"/>
        <w:jc w:val="both"/>
      </w:pPr>
      <w:r>
        <w:rPr>
          <w:sz w:val="20"/>
        </w:rPr>
      </w:r>
    </w:p>
    <w:bookmarkStart w:id="808" w:name="P808"/>
    <w:bookmarkEnd w:id="808"/>
    <w:p>
      <w:pPr>
        <w:pStyle w:val="0"/>
        <w:jc w:val="center"/>
      </w:pPr>
      <w:r>
        <w:rPr>
          <w:position w:val="-9"/>
        </w:rPr>
        <w:drawing>
          <wp:inline distT="0" distB="0" distL="0" distR="0">
            <wp:extent cx="6134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6134100" cy="241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695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369570" cy="241300"/>
                    </a:xfrm>
                    <a:prstGeom prst="rect">
                      <a:avLst/>
                    </a:prstGeom>
                    <a:noFill/>
                    <a:ln>
                      <a:noFill/>
                    </a:ln>
                  </pic:spPr>
                </pic:pic>
              </a:graphicData>
            </a:graphic>
          </wp:inline>
        </w:drawing>
      </w:r>
      <w:r>
        <w:rPr>
          <w:sz w:val="20"/>
        </w:rPr>
        <w:t xml:space="preserve"> - операционные расходы, в i-2 году, определенные исходя из уточненных параметров расчета тарифов (индексов) в соответствии с </w:t>
      </w:r>
      <w:hyperlink w:history="0" w:anchor="P847" w:tooltip="Ссылка на текущий документ">
        <w:r>
          <w:rPr>
            <w:sz w:val="20"/>
            <w:color w:val="0000ff"/>
          </w:rPr>
          <w:t xml:space="preserve">формулой (40)</w:t>
        </w:r>
      </w:hyperlink>
      <w:r>
        <w:rPr>
          <w:sz w:val="20"/>
        </w:rPr>
        <w:t xml:space="preserve"> настоящих Методических указаний, тыс. руб.;</w:t>
      </w:r>
    </w:p>
    <w:p>
      <w:pPr>
        <w:pStyle w:val="0"/>
        <w:spacing w:before="200" w:lineRule="auto"/>
        <w:ind w:firstLine="540"/>
        <w:jc w:val="both"/>
      </w:pPr>
      <w:r>
        <w:rPr>
          <w:position w:val="-9"/>
        </w:rPr>
        <w:drawing>
          <wp:inline distT="0" distB="0" distL="0" distR="0">
            <wp:extent cx="3543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354330" cy="241300"/>
                    </a:xfrm>
                    <a:prstGeom prst="rect">
                      <a:avLst/>
                    </a:prstGeom>
                    <a:noFill/>
                    <a:ln>
                      <a:noFill/>
                    </a:ln>
                  </pic:spPr>
                </pic:pic>
              </a:graphicData>
            </a:graphic>
          </wp:inline>
        </w:drawing>
      </w:r>
      <w:r>
        <w:rPr>
          <w:sz w:val="20"/>
        </w:rPr>
        <w:t xml:space="preserve"> - фактические документально подтвержденные неподконтрольные расходы в (i-2)-м году, определяемые с учетом </w:t>
      </w:r>
      <w:hyperlink w:history="0" w:anchor="P165" w:tooltip="22. Расходы, связанные с обслуживанием заемных средств,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
        <w:r>
          <w:rPr>
            <w:sz w:val="20"/>
            <w:color w:val="0000ff"/>
          </w:rPr>
          <w:t xml:space="preserve">пунктов 22</w:t>
        </w:r>
      </w:hyperlink>
      <w:r>
        <w:rPr>
          <w:sz w:val="20"/>
        </w:rPr>
        <w:t xml:space="preserve">, </w:t>
      </w:r>
      <w:hyperlink w:history="0" w:anchor="P213" w:tooltip="29.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
        <w:r>
          <w:rPr>
            <w:sz w:val="20"/>
            <w:color w:val="0000ff"/>
          </w:rPr>
          <w:t xml:space="preserve">29</w:t>
        </w:r>
      </w:hyperlink>
      <w:r>
        <w:rPr>
          <w:sz w:val="20"/>
        </w:rPr>
        <w:t xml:space="preserve">, </w:t>
      </w:r>
      <w:hyperlink w:history="0" w:anchor="P387" w:tooltip="49. Неподконтрольные расходы включают в себя:">
        <w:r>
          <w:rPr>
            <w:sz w:val="20"/>
            <w:color w:val="0000ff"/>
          </w:rPr>
          <w:t xml:space="preserve">49</w:t>
        </w:r>
      </w:hyperlink>
      <w:r>
        <w:rPr>
          <w:sz w:val="20"/>
        </w:rPr>
        <w:t xml:space="preserve">, </w:t>
      </w:r>
      <w:hyperlink w:history="0" w:anchor="P412" w:tooltip="51. Расходы на арендную плату, концессионную плату и лизинговые платежи относятся к неподконтрольным, если договор аренды (лизинга, концессии) заключен в отношении централизованных систем водоснабжения или водоотведения, объектов и оборудования, используемых в этих системах, а также в случае аренды земельных участков, на которых расположены или осуществляется строительство объектов централизованных систем водоснабжения и водоотведения в сроки, определенные инвестиционной программой. В остальных случаях р...">
        <w:r>
          <w:rPr>
            <w:sz w:val="20"/>
            <w:color w:val="0000ff"/>
          </w:rPr>
          <w:t xml:space="preserve">51</w:t>
        </w:r>
      </w:hyperlink>
      <w:r>
        <w:rPr>
          <w:sz w:val="20"/>
        </w:rPr>
        <w:t xml:space="preserve"> - </w:t>
      </w:r>
      <w:hyperlink w:history="0" w:anchor="P490" w:tooltip="60. Прирост экономии средств от снижения потребления энергетических ресурсов и холодной воды за прошедший год рассчитывается по формуле:">
        <w:r>
          <w:rPr>
            <w:sz w:val="20"/>
            <w:color w:val="0000ff"/>
          </w:rPr>
          <w:t xml:space="preserve">60</w:t>
        </w:r>
      </w:hyperlink>
      <w:r>
        <w:rPr>
          <w:sz w:val="20"/>
        </w:rPr>
        <w:t xml:space="preserve"> и </w:t>
      </w:r>
      <w:hyperlink w:history="0" w:anchor="P723" w:tooltip="88. Величина текущих расходов регулируемой организации определяется в соответствии с главой VI.I настоящих Методических указаний с учетом того, что неподконтрольные расходы включают в себя помимо расходов, указанных в пункте 49 настоящих Методических указаний, также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настоящих Методических указаний.">
        <w:r>
          <w:rPr>
            <w:sz w:val="20"/>
            <w:color w:val="0000ff"/>
          </w:rPr>
          <w:t xml:space="preserve">88</w:t>
        </w:r>
      </w:hyperlink>
      <w:r>
        <w:rPr>
          <w:sz w:val="20"/>
        </w:rPr>
        <w:t xml:space="preserve"> настоящих Методических указаний;</w:t>
      </w:r>
    </w:p>
    <w:p>
      <w:pPr>
        <w:pStyle w:val="0"/>
        <w:spacing w:before="200" w:lineRule="auto"/>
        <w:ind w:firstLine="540"/>
        <w:jc w:val="both"/>
      </w:pPr>
      <w:r>
        <w:rPr>
          <w:position w:val="-8"/>
        </w:rPr>
        <w:drawing>
          <wp:inline distT="0" distB="0" distL="0" distR="0">
            <wp:extent cx="33655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336550" cy="240665"/>
                    </a:xfrm>
                    <a:prstGeom prst="rect">
                      <a:avLst/>
                    </a:prstGeom>
                    <a:noFill/>
                    <a:ln>
                      <a:noFill/>
                    </a:ln>
                  </pic:spPr>
                </pic:pic>
              </a:graphicData>
            </a:graphic>
          </wp:inline>
        </w:drawing>
      </w:r>
      <w:r>
        <w:rPr>
          <w:sz w:val="20"/>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history="0" w:anchor="P851" w:tooltip="Ссылка на текущий документ">
        <w:r>
          <w:rPr>
            <w:sz w:val="20"/>
            <w:color w:val="0000ff"/>
          </w:rPr>
          <w:t xml:space="preserve">формулой (40.1)</w:t>
        </w:r>
      </w:hyperlink>
      <w:r>
        <w:rPr>
          <w:sz w:val="20"/>
        </w:rPr>
        <w:t xml:space="preserve"> настоящих Методических указаний, тыс. руб.;</w:t>
      </w:r>
    </w:p>
    <w:p>
      <w:pPr>
        <w:pStyle w:val="0"/>
        <w:spacing w:before="200" w:lineRule="auto"/>
        <w:ind w:firstLine="540"/>
        <w:jc w:val="both"/>
      </w:pPr>
      <w:r>
        <w:rPr>
          <w:position w:val="-8"/>
        </w:rPr>
        <w:drawing>
          <wp:inline distT="0" distB="0" distL="0" distR="0">
            <wp:extent cx="2667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266700" cy="240665"/>
                    </a:xfrm>
                    <a:prstGeom prst="rect">
                      <a:avLst/>
                    </a:prstGeom>
                    <a:noFill/>
                    <a:ln>
                      <a:noFill/>
                    </a:ln>
                  </pic:spPr>
                </pic:pic>
              </a:graphicData>
            </a:graphic>
          </wp:inline>
        </w:drawing>
      </w:r>
      <w:r>
        <w:rPr>
          <w:sz w:val="20"/>
        </w:rPr>
        <w:t xml:space="preserve"> - расходы на амортизацию в (i-2)-м году, определенные исходя из фактического состава имущества в (i-2)-м году в соответствии с </w:t>
      </w:r>
      <w:hyperlink w:history="0" w:anchor="P207" w:tooltip="28.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28</w:t>
        </w:r>
      </w:hyperlink>
      <w:r>
        <w:rPr>
          <w:sz w:val="20"/>
        </w:rPr>
        <w:t xml:space="preserve"> настоящих Методических указаний, тыс. руб.;</w:t>
      </w:r>
    </w:p>
    <w:p>
      <w:pPr>
        <w:pStyle w:val="0"/>
        <w:spacing w:before="200" w:lineRule="auto"/>
        <w:ind w:firstLine="540"/>
        <w:jc w:val="both"/>
      </w:pP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 величина нормативной прибыли в (i-2)-м году, определяемая как произведение установленного на (i-2)-й год нормативного уровня прибыли и фактической необходимой валовой выручки регулируемой организации в (i-2)-м году, определенной по </w:t>
      </w:r>
      <w:hyperlink w:history="0" w:anchor="P806" w:tooltip="Ссылка на текущий документ">
        <w:r>
          <w:rPr>
            <w:sz w:val="20"/>
            <w:color w:val="0000ff"/>
          </w:rPr>
          <w:t xml:space="preserve">формуле (38)</w:t>
        </w:r>
      </w:hyperlink>
      <w:r>
        <w:rPr>
          <w:sz w:val="20"/>
        </w:rPr>
        <w:t xml:space="preserve"> Методических указаний, без учета расчетной предпринимательской прибыли гарантирующей организации и налога на прибыль, тыс. руб. При отсутствии утвержденного на (i-2)-й год нормативного уровня прибыли величина нормативной прибыли определяется как сумма фактических расходов, предусмотренных </w:t>
      </w:r>
      <w:hyperlink w:history="0" r:id="rId356"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подпунктом "в" пункта 78</w:t>
        </w:r>
      </w:hyperlink>
      <w:r>
        <w:rPr>
          <w:sz w:val="20"/>
        </w:rPr>
        <w:t xml:space="preserve"> Основ ценообразования, и учтенных при установлении тарифов расходов, предусмотренных </w:t>
      </w:r>
      <w:hyperlink w:history="0" r:id="rId357"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подпунктами "а"</w:t>
        </w:r>
      </w:hyperlink>
      <w:r>
        <w:rPr>
          <w:sz w:val="20"/>
        </w:rPr>
        <w:t xml:space="preserve">, </w:t>
      </w:r>
      <w:hyperlink w:history="0" r:id="rId358"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"б" пункта 78</w:t>
        </w:r>
      </w:hyperlink>
      <w:r>
        <w:rPr>
          <w:sz w:val="20"/>
        </w:rPr>
        <w:t xml:space="preserve"> Основ ценообразования;</w:t>
      </w:r>
    </w:p>
    <w:p>
      <w:pPr>
        <w:pStyle w:val="0"/>
        <w:jc w:val="both"/>
      </w:pPr>
      <w:r>
        <w:rPr>
          <w:sz w:val="20"/>
        </w:rPr>
        <w:t xml:space="preserve">(в ред. </w:t>
      </w:r>
      <w:hyperlink w:history="0" r:id="rId359" w:tooltip="Приказ ФАС России от 14.06.2023 N 384/23 &quot;О внесении изменений в приказы ФСТ России от 13 июня 2013 г. N 760-э и от 27 декабря 2013 г. N 1746-э&quot; (Зарегистрировано в Минюсте России 28.08.2023 N 74987) {КонсультантПлюс}">
        <w:r>
          <w:rPr>
            <w:sz w:val="20"/>
            <w:color w:val="0000ff"/>
          </w:rPr>
          <w:t xml:space="preserve">Приказа</w:t>
        </w:r>
      </w:hyperlink>
      <w:r>
        <w:rPr>
          <w:sz w:val="20"/>
        </w:rPr>
        <w:t xml:space="preserve"> ФАС России от 14.06.2023 N 384/23)</w:t>
      </w:r>
    </w:p>
    <w:p>
      <w:pPr>
        <w:pStyle w:val="0"/>
        <w:spacing w:before="200" w:lineRule="auto"/>
        <w:ind w:firstLine="540"/>
        <w:jc w:val="both"/>
      </w:pPr>
      <w:r>
        <w:rPr>
          <w:position w:val="-8"/>
        </w:rPr>
        <w:drawing>
          <wp:inline distT="0" distB="0" distL="0" distR="0">
            <wp:extent cx="41338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413385" cy="240665"/>
                    </a:xfrm>
                    <a:prstGeom prst="rect">
                      <a:avLst/>
                    </a:prstGeom>
                    <a:noFill/>
                    <a:ln>
                      <a:noFill/>
                    </a:ln>
                  </pic:spPr>
                </pic:pic>
              </a:graphicData>
            </a:graphic>
          </wp:inline>
        </w:drawing>
      </w:r>
      <w:r>
        <w:rPr>
          <w:sz w:val="20"/>
        </w:rPr>
        <w:t xml:space="preserve"> - расчетная предпринимательская прибыль гарантирующей организации в (i-2)-м году, определяемая в соответствии с </w:t>
      </w:r>
      <w:hyperlink w:history="0" w:anchor="P711" w:tooltip="86(1).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
        <w:r>
          <w:rPr>
            <w:sz w:val="20"/>
            <w:color w:val="0000ff"/>
          </w:rPr>
          <w:t xml:space="preserve">пунктом 86(1)</w:t>
        </w:r>
      </w:hyperlink>
      <w:r>
        <w:rPr>
          <w:sz w:val="20"/>
        </w:rPr>
        <w:t xml:space="preserve"> настоящих Методических указаний исходя из скорректированных расходов, тыс. руб.;</w:t>
      </w:r>
    </w:p>
    <w:p>
      <w:pPr>
        <w:pStyle w:val="0"/>
        <w:spacing w:before="200" w:lineRule="auto"/>
        <w:ind w:firstLine="540"/>
        <w:jc w:val="both"/>
      </w:pPr>
      <w:r>
        <w:rPr>
          <w:position w:val="-9"/>
        </w:rPr>
        <w:drawing>
          <wp:inline distT="0" distB="0" distL="0" distR="0">
            <wp:extent cx="3924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392430" cy="241300"/>
                    </a:xfrm>
                    <a:prstGeom prst="rect">
                      <a:avLst/>
                    </a:prstGeom>
                    <a:noFill/>
                    <a:ln>
                      <a:noFill/>
                    </a:ln>
                  </pic:spPr>
                </pic:pic>
              </a:graphicData>
            </a:graphic>
          </wp:inline>
        </w:drawing>
      </w:r>
      <w:r>
        <w:rPr>
          <w:sz w:val="20"/>
        </w:rPr>
        <w:t xml:space="preserve"> - фактический возврат инвестированного капитала в (i-2)-м году, определяемый в соответствии с </w:t>
      </w:r>
      <w:hyperlink w:history="0" w:anchor="P588" w:tooltip="72. 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 Размер средств, обеспечивающих возврат инвестированного капитала, который подлежит учету при установл...">
        <w:r>
          <w:rPr>
            <w:sz w:val="20"/>
            <w:color w:val="0000ff"/>
          </w:rPr>
          <w:t xml:space="preserve">пунктом 72</w:t>
        </w:r>
      </w:hyperlink>
      <w:r>
        <w:rPr>
          <w:sz w:val="20"/>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pPr>
        <w:pStyle w:val="0"/>
        <w:spacing w:before="200" w:lineRule="auto"/>
        <w:ind w:firstLine="540"/>
        <w:jc w:val="both"/>
      </w:pPr>
      <w:r>
        <w:rPr>
          <w:position w:val="-10"/>
        </w:rPr>
        <w:drawing>
          <wp:inline distT="0" distB="0" distL="0" distR="0">
            <wp:extent cx="37528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375285" cy="259715"/>
                    </a:xfrm>
                    <a:prstGeom prst="rect">
                      <a:avLst/>
                    </a:prstGeom>
                    <a:noFill/>
                    <a:ln>
                      <a:noFill/>
                    </a:ln>
                  </pic:spPr>
                </pic:pic>
              </a:graphicData>
            </a:graphic>
          </wp:inline>
        </w:drawing>
      </w:r>
      <w:r>
        <w:rPr>
          <w:sz w:val="20"/>
        </w:rPr>
        <w:t xml:space="preserve"> - фактический доход на инвестированный капитал в (i-2)-м году, определяемый в соответствии с </w:t>
      </w:r>
      <w:hyperlink w:history="0" w:anchor="P603" w:tooltip="74. В необходимую валовую выручку регулируемой организации на i-й год включается доход на инвестированный капитал, рассчитанный по формуле:">
        <w:r>
          <w:rPr>
            <w:sz w:val="20"/>
            <w:color w:val="0000ff"/>
          </w:rPr>
          <w:t xml:space="preserve">пунктом 74</w:t>
        </w:r>
      </w:hyperlink>
      <w:r>
        <w:rPr>
          <w:sz w:val="20"/>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pPr>
        <w:pStyle w:val="0"/>
        <w:spacing w:before="200" w:lineRule="auto"/>
        <w:ind w:firstLine="540"/>
        <w:jc w:val="both"/>
      </w:pPr>
      <w:r>
        <w:rPr>
          <w:position w:val="-8"/>
        </w:rPr>
        <w:drawing>
          <wp:inline distT="0" distB="0" distL="0" distR="0">
            <wp:extent cx="533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Pr>
          <w:sz w:val="20"/>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w:history="0" w:anchor="P802" w:tooltip=". (37)">
        <w:r>
          <w:rPr>
            <w:sz w:val="20"/>
            <w:color w:val="0000ff"/>
          </w:rPr>
          <w:t xml:space="preserve">формулой (37)</w:t>
        </w:r>
      </w:hyperlink>
      <w:r>
        <w:rPr>
          <w:sz w:val="20"/>
        </w:rPr>
        <w:t xml:space="preserve"> настоящих Методических указаний, тыс. руб.;</w:t>
      </w:r>
    </w:p>
    <w:p>
      <w:pPr>
        <w:pStyle w:val="0"/>
        <w:spacing w:before="200" w:lineRule="auto"/>
        <w:ind w:firstLine="540"/>
        <w:jc w:val="both"/>
      </w:pPr>
      <w:r>
        <w:rPr>
          <w:position w:val="-8"/>
        </w:rPr>
        <w:drawing>
          <wp:inline distT="0" distB="0" distL="0" distR="0">
            <wp:extent cx="35433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354330" cy="228600"/>
                    </a:xfrm>
                    <a:prstGeom prst="rect">
                      <a:avLst/>
                    </a:prstGeom>
                    <a:noFill/>
                    <a:ln>
                      <a:noFill/>
                    </a:ln>
                  </pic:spPr>
                </pic:pic>
              </a:graphicData>
            </a:graphic>
          </wp:inline>
        </w:drawing>
      </w:r>
      <w:r>
        <w:rPr>
          <w:sz w:val="20"/>
        </w:rPr>
        <w:t xml:space="preserve">, </w:t>
      </w:r>
      <w:r>
        <w:rPr>
          <w:position w:val="-8"/>
        </w:rPr>
        <w:drawing>
          <wp:inline distT="0" distB="0" distL="0" distR="0">
            <wp:extent cx="5105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r>
        <w:rPr>
          <w:sz w:val="20"/>
        </w:rPr>
        <w:t xml:space="preserve">, </w:t>
      </w:r>
      <w:r>
        <w:rPr>
          <w:position w:val="-8"/>
        </w:rPr>
        <w:drawing>
          <wp:inline distT="0" distB="0" distL="0" distR="0">
            <wp:extent cx="54864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548640" cy="240665"/>
                    </a:xfrm>
                    <a:prstGeom prst="rect">
                      <a:avLst/>
                    </a:prstGeom>
                    <a:noFill/>
                    <a:ln>
                      <a:noFill/>
                    </a:ln>
                  </pic:spPr>
                </pic:pic>
              </a:graphicData>
            </a:graphic>
          </wp:inline>
        </w:drawing>
      </w:r>
      <w:r>
        <w:rPr>
          <w:sz w:val="20"/>
        </w:rPr>
        <w:t xml:space="preserve">, </w:t>
      </w:r>
      <w:r>
        <w:rPr>
          <w:position w:val="-9"/>
        </w:rPr>
        <w:drawing>
          <wp:inline distT="0" distB="0" distL="0" distR="0">
            <wp:extent cx="5562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a:extLst>
                        <a:ext uri="{28A0092B-C50C-407E-A947-70E740481C1C}">
                          <a14:useLocalDpi xmlns:a14="http://schemas.microsoft.com/office/drawing/2010/main" val="0"/>
                        </a:ext>
                      </a:extLst>
                    </a:blip>
                    <a:srcRect/>
                    <a:stretch>
                      <a:fillRect/>
                    </a:stretch>
                  </pic:blipFill>
                  <pic:spPr bwMode="auto">
                    <a:xfrm>
                      <a:off x="0" y="0"/>
                      <a:ext cx="556260" cy="241300"/>
                    </a:xfrm>
                    <a:prstGeom prst="rect">
                      <a:avLst/>
                    </a:prstGeom>
                    <a:noFill/>
                    <a:ln>
                      <a:noFill/>
                    </a:ln>
                  </pic:spPr>
                </pic:pic>
              </a:graphicData>
            </a:graphic>
          </wp:inline>
        </w:drawing>
      </w:r>
      <w:r>
        <w:rPr>
          <w:sz w:val="20"/>
        </w:rPr>
        <w:t xml:space="preserve"> - показатели, утвержденные и учтенные органом регулирования в i-2 году, тыс. руб.</w:t>
      </w:r>
    </w:p>
    <w:p>
      <w:pPr>
        <w:pStyle w:val="0"/>
        <w:spacing w:before="200" w:lineRule="auto"/>
        <w:ind w:firstLine="540"/>
        <w:jc w:val="both"/>
      </w:pPr>
      <w:r>
        <w:rPr>
          <w:sz w:val="20"/>
        </w:rPr>
        <w:t xml:space="preserve">Операционные расходы и расходы на приобретение энергетических</w:t>
      </w:r>
    </w:p>
    <w:p>
      <w:pPr>
        <w:pStyle w:val="0"/>
        <w:ind w:firstLine="540"/>
        <w:jc w:val="both"/>
      </w:pPr>
      <w:r>
        <w:rPr>
          <w:sz w:val="20"/>
        </w:rPr>
      </w:r>
    </w:p>
    <w:bookmarkStart w:id="824" w:name="P824"/>
    <w:bookmarkEnd w:id="824"/>
    <w:p>
      <w:pPr>
        <w:pStyle w:val="0"/>
        <w:jc w:val="center"/>
      </w:pPr>
      <w:r>
        <w:rPr>
          <w:position w:val="-26"/>
        </w:rPr>
        <w:drawing>
          <wp:inline distT="0" distB="0" distL="0" distR="0">
            <wp:extent cx="451866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4518660" cy="457200"/>
                    </a:xfrm>
                    <a:prstGeom prst="rect">
                      <a:avLst/>
                    </a:prstGeom>
                    <a:noFill/>
                    <a:ln>
                      <a:noFill/>
                    </a:ln>
                  </pic:spPr>
                </pic:pic>
              </a:graphicData>
            </a:graphic>
          </wp:inline>
        </w:drawing>
      </w:r>
    </w:p>
    <w:p>
      <w:pPr>
        <w:pStyle w:val="0"/>
        <w:jc w:val="both"/>
      </w:pPr>
      <w:r>
        <w:rPr>
          <w:sz w:val="20"/>
        </w:rPr>
      </w:r>
    </w:p>
    <w:bookmarkStart w:id="826" w:name="P826"/>
    <w:bookmarkEnd w:id="826"/>
    <w:p>
      <w:pPr>
        <w:pStyle w:val="0"/>
        <w:jc w:val="center"/>
      </w:pPr>
      <w:r>
        <w:rPr>
          <w:position w:val="-8"/>
        </w:rPr>
        <w:drawing>
          <wp:inline distT="0" distB="0" distL="0" distR="0">
            <wp:extent cx="164782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1647825" cy="240665"/>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pPr>
        <w:pStyle w:val="0"/>
        <w:jc w:val="both"/>
      </w:pPr>
      <w:r>
        <w:rPr>
          <w:sz w:val="20"/>
        </w:rPr>
      </w:r>
    </w:p>
    <w:p>
      <w:pPr>
        <w:pStyle w:val="0"/>
        <w:jc w:val="center"/>
      </w:pPr>
      <w:r>
        <w:rPr>
          <w:position w:val="-9"/>
        </w:rPr>
        <w:drawing>
          <wp:inline distT="0" distB="0" distL="0" distR="0">
            <wp:extent cx="21945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a:extLst>
                        <a:ext uri="{28A0092B-C50C-407E-A947-70E740481C1C}">
                          <a14:useLocalDpi xmlns:a14="http://schemas.microsoft.com/office/drawing/2010/main" val="0"/>
                        </a:ext>
                      </a:extLst>
                    </a:blip>
                    <a:srcRect/>
                    <a:stretch>
                      <a:fillRect/>
                    </a:stretch>
                  </pic:blipFill>
                  <pic:spPr bwMode="auto">
                    <a:xfrm>
                      <a:off x="0" y="0"/>
                      <a:ext cx="2194560" cy="241300"/>
                    </a:xfrm>
                    <a:prstGeom prst="rect">
                      <a:avLst/>
                    </a:prstGeom>
                    <a:noFill/>
                    <a:ln>
                      <a:noFill/>
                    </a:ln>
                  </pic:spPr>
                </pic:pic>
              </a:graphicData>
            </a:graphic>
          </wp:inline>
        </w:drawing>
      </w:r>
    </w:p>
    <w:p>
      <w:pPr>
        <w:pStyle w:val="0"/>
        <w:jc w:val="both"/>
      </w:pPr>
      <w:r>
        <w:rPr>
          <w:sz w:val="20"/>
        </w:rPr>
      </w:r>
    </w:p>
    <w:p>
      <w:pPr>
        <w:pStyle w:val="0"/>
        <w:jc w:val="center"/>
      </w:pPr>
      <w:r>
        <w:rPr>
          <w:position w:val="-11"/>
        </w:rPr>
        <w:drawing>
          <wp:inline distT="0" distB="0" distL="0" distR="0">
            <wp:extent cx="188214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1882140" cy="266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i0 - первый год текущего долгосрочного периода регулирования;</w:t>
      </w:r>
    </w:p>
    <w:p>
      <w:pPr>
        <w:pStyle w:val="0"/>
        <w:spacing w:before="200" w:lineRule="auto"/>
        <w:ind w:firstLine="540"/>
        <w:jc w:val="both"/>
      </w:pPr>
      <w:r>
        <w:rPr>
          <w:position w:val="-9"/>
        </w:rPr>
        <w:drawing>
          <wp:inline distT="0" distB="0" distL="0" distR="0">
            <wp:extent cx="342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Pr>
          <w:sz w:val="20"/>
        </w:rPr>
        <w:t xml:space="preserve"> - операционные расходы, определенные на i-й год исходя из плановых и уточненных параметров расчета тарифов, тыс. руб.;</w:t>
      </w:r>
    </w:p>
    <w:p>
      <w:pPr>
        <w:pStyle w:val="0"/>
        <w:spacing w:before="200" w:lineRule="auto"/>
        <w:ind w:firstLine="540"/>
        <w:jc w:val="both"/>
      </w:pPr>
      <w:r>
        <w:rPr>
          <w:sz w:val="20"/>
        </w:rPr>
        <w:t xml:space="preserve">ОР</w:t>
      </w:r>
      <w:r>
        <w:rPr>
          <w:sz w:val="20"/>
          <w:vertAlign w:val="subscript"/>
        </w:rPr>
        <w:t xml:space="preserve">i0</w:t>
      </w:r>
      <w:r>
        <w:rPr>
          <w:sz w:val="20"/>
        </w:rPr>
        <w:t xml:space="preserve"> - базовый уровень операционных расходов, установленный на долгосрочный период регулирования в соответствии с </w:t>
      </w:r>
      <w:hyperlink w:history="0" w:anchor="P352" w:tooltip="45. Операционные расходы на первый год долгосрочного периода регулирования (далее - базовый уровень операционных расходов) рассчитываются с применением метода экономически обоснованных расходов (затрат) в соответствии с пунктами 17 - 26 настоящих Методических указаний (за исключением расходов на электрическую энергию (мощность, тепловую энергию и другие виды энергетических ресурсов)). Операционные расходы на второй и последующие годы долгосрочного периода регулирования рассчитываются по формуле:">
        <w:r>
          <w:rPr>
            <w:sz w:val="20"/>
            <w:color w:val="0000ff"/>
          </w:rPr>
          <w:t xml:space="preserve">пунктом 45</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ИЭР - индекс эффективности операционных расходов, установленный на j-й год и выраженный в процентах;</w:t>
      </w:r>
    </w:p>
    <w:p>
      <w:pPr>
        <w:pStyle w:val="0"/>
        <w:spacing w:before="200" w:lineRule="auto"/>
        <w:ind w:firstLine="540"/>
        <w:jc w:val="both"/>
      </w:pPr>
      <w:r>
        <w:rPr>
          <w:position w:val="-10"/>
        </w:rPr>
        <w:drawing>
          <wp:inline distT="0" distB="0" distL="0" distR="0">
            <wp:extent cx="4851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485140" cy="254000"/>
                    </a:xfrm>
                    <a:prstGeom prst="rect">
                      <a:avLst/>
                    </a:prstGeom>
                    <a:noFill/>
                    <a:ln>
                      <a:noFill/>
                    </a:ln>
                  </pic:spPr>
                </pic:pic>
              </a:graphicData>
            </a:graphic>
          </wp:inline>
        </w:drawing>
      </w:r>
      <w:r>
        <w:rPr>
          <w:sz w:val="20"/>
        </w:rPr>
        <w:t xml:space="preserve"> - скорректированный прогнозный индекс изменения потребительских цен в j-м году;</w:t>
      </w:r>
    </w:p>
    <w:p>
      <w:pPr>
        <w:pStyle w:val="0"/>
        <w:spacing w:before="200" w:lineRule="auto"/>
        <w:ind w:firstLine="540"/>
        <w:jc w:val="both"/>
      </w:pPr>
      <w:r>
        <w:rPr>
          <w:position w:val="-10"/>
        </w:rPr>
        <w:drawing>
          <wp:inline distT="0" distB="0" distL="0" distR="0">
            <wp:extent cx="46799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467995" cy="254000"/>
                    </a:xfrm>
                    <a:prstGeom prst="rect">
                      <a:avLst/>
                    </a:prstGeom>
                    <a:noFill/>
                    <a:ln>
                      <a:noFill/>
                    </a:ln>
                  </pic:spPr>
                </pic:pic>
              </a:graphicData>
            </a:graphic>
          </wp:inline>
        </w:drawing>
      </w:r>
      <w:r>
        <w:rPr>
          <w:sz w:val="20"/>
        </w:rPr>
        <w:t xml:space="preserve"> - скорректированный прогнозный индекс изменения количества активов в j-м году, рассчитываемый в соответствии с </w:t>
      </w:r>
      <w:hyperlink w:history="0" w:anchor="P368" w:tooltip=", (8.1)">
        <w:r>
          <w:rPr>
            <w:sz w:val="20"/>
            <w:color w:val="0000ff"/>
          </w:rPr>
          <w:t xml:space="preserve">формулой 8.1</w:t>
        </w:r>
      </w:hyperlink>
      <w:r>
        <w:rPr>
          <w:sz w:val="20"/>
        </w:rPr>
        <w:t xml:space="preserve"> настоящих Методических указаний;</w:t>
      </w:r>
    </w:p>
    <w:p>
      <w:pPr>
        <w:pStyle w:val="0"/>
        <w:spacing w:before="200" w:lineRule="auto"/>
        <w:ind w:firstLine="540"/>
        <w:jc w:val="both"/>
      </w:pPr>
      <w:r>
        <w:rPr>
          <w:position w:val="-9"/>
        </w:rPr>
        <w:drawing>
          <wp:inline distT="0" distB="0" distL="0" distR="0">
            <wp:extent cx="381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rPr>
          <w:sz w:val="20"/>
        </w:rPr>
        <w:t xml:space="preserve"> - удельное потребление электрической энергии в i-м году, установленное на соответствующий год, тыс. кВтч/куб. м;</w:t>
      </w:r>
    </w:p>
    <w:p>
      <w:pPr>
        <w:pStyle w:val="0"/>
        <w:spacing w:before="200" w:lineRule="auto"/>
        <w:ind w:firstLine="540"/>
        <w:jc w:val="both"/>
      </w:pPr>
      <w:r>
        <w:rPr>
          <w:position w:val="-9"/>
        </w:rPr>
        <w:drawing>
          <wp:inline distT="0" distB="0" distL="0" distR="0">
            <wp:extent cx="254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a:extLst>
                        <a:ext uri="{28A0092B-C50C-407E-A947-70E740481C1C}">
                          <a14:useLocalDpi xmlns:a14="http://schemas.microsoft.com/office/drawing/2010/main" val="0"/>
                        </a:ext>
                      </a:extLst>
                    </a:blip>
                    <a:srcRect/>
                    <a:stretch>
                      <a:fillRect/>
                    </a:stretch>
                  </pic:blipFill>
                  <pic:spPr bwMode="auto">
                    <a:xfrm>
                      <a:off x="0" y="0"/>
                      <a:ext cx="254000" cy="241300"/>
                    </a:xfrm>
                    <a:prstGeom prst="rect">
                      <a:avLst/>
                    </a:prstGeom>
                    <a:noFill/>
                    <a:ln>
                      <a:noFill/>
                    </a:ln>
                  </pic:spPr>
                </pic:pic>
              </a:graphicData>
            </a:graphic>
          </wp:inline>
        </w:drawing>
      </w:r>
      <w:r>
        <w:rPr>
          <w:sz w:val="20"/>
        </w:rPr>
        <w:t xml:space="preserve"> - скорректированный объем поданной воды (принятых сточных вод) в i-м году, тыс. куб. м;</w:t>
      </w:r>
    </w:p>
    <w:p>
      <w:pPr>
        <w:pStyle w:val="0"/>
        <w:spacing w:before="200" w:lineRule="auto"/>
        <w:ind w:firstLine="540"/>
        <w:jc w:val="both"/>
      </w:pPr>
      <w:r>
        <w:rPr>
          <w:position w:val="-9"/>
        </w:rPr>
        <w:drawing>
          <wp:inline distT="0" distB="0" distL="0" distR="0">
            <wp:extent cx="3543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354330" cy="241300"/>
                    </a:xfrm>
                    <a:prstGeom prst="rect">
                      <a:avLst/>
                    </a:prstGeom>
                    <a:noFill/>
                    <a:ln>
                      <a:noFill/>
                    </a:ln>
                  </pic:spPr>
                </pic:pic>
              </a:graphicData>
            </a:graphic>
          </wp:inline>
        </w:drawing>
      </w:r>
      <w:r>
        <w:rPr>
          <w:sz w:val="20"/>
        </w:rPr>
        <w:t xml:space="preserve"> - скорректированная цена на электрическую энергию, определяемая в i-м году, руб./кВт час;</w:t>
      </w:r>
    </w:p>
    <w:p>
      <w:pPr>
        <w:pStyle w:val="0"/>
        <w:spacing w:before="200" w:lineRule="auto"/>
        <w:ind w:firstLine="540"/>
        <w:jc w:val="both"/>
      </w:pPr>
      <w:r>
        <w:rPr>
          <w:position w:val="-10"/>
        </w:rPr>
        <w:drawing>
          <wp:inline distT="0" distB="0" distL="0" distR="0">
            <wp:extent cx="241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Pr>
          <w:sz w:val="20"/>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pPr>
        <w:pStyle w:val="0"/>
        <w:spacing w:before="200" w:lineRule="auto"/>
        <w:ind w:firstLine="540"/>
        <w:jc w:val="both"/>
      </w:pPr>
      <w:r>
        <w:rPr>
          <w:position w:val="-10"/>
        </w:rPr>
        <w:drawing>
          <wp:inline distT="0" distB="0" distL="0" distR="0">
            <wp:extent cx="35433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a:extLst>
                        <a:ext uri="{28A0092B-C50C-407E-A947-70E740481C1C}">
                          <a14:useLocalDpi xmlns:a14="http://schemas.microsoft.com/office/drawing/2010/main" val="0"/>
                        </a:ext>
                      </a:extLst>
                    </a:blip>
                    <a:srcRect/>
                    <a:stretch>
                      <a:fillRect/>
                    </a:stretch>
                  </pic:blipFill>
                  <pic:spPr bwMode="auto">
                    <a:xfrm>
                      <a:off x="0" y="0"/>
                      <a:ext cx="354330" cy="254000"/>
                    </a:xfrm>
                    <a:prstGeom prst="rect">
                      <a:avLst/>
                    </a:prstGeom>
                    <a:noFill/>
                    <a:ln>
                      <a:noFill/>
                    </a:ln>
                  </pic:spPr>
                </pic:pic>
              </a:graphicData>
            </a:graphic>
          </wp:inline>
        </w:drawing>
      </w:r>
      <w:r>
        <w:rPr>
          <w:sz w:val="20"/>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pPr>
        <w:pStyle w:val="0"/>
        <w:jc w:val="both"/>
      </w:pPr>
      <w:r>
        <w:rPr>
          <w:sz w:val="20"/>
        </w:rPr>
      </w:r>
    </w:p>
    <w:bookmarkStart w:id="847" w:name="P847"/>
    <w:bookmarkEnd w:id="847"/>
    <w:p>
      <w:pPr>
        <w:pStyle w:val="0"/>
        <w:jc w:val="center"/>
      </w:pPr>
      <w:r>
        <w:rPr>
          <w:position w:val="-26"/>
        </w:rPr>
        <w:drawing>
          <wp:inline distT="0" distB="0" distL="0" distR="0">
            <wp:extent cx="44958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4495800" cy="457200"/>
                    </a:xfrm>
                    <a:prstGeom prst="rect">
                      <a:avLst/>
                    </a:prstGeom>
                    <a:noFill/>
                    <a:ln>
                      <a:noFill/>
                    </a:ln>
                  </pic:spPr>
                </pic:pic>
              </a:graphicData>
            </a:graphic>
          </wp:inline>
        </w:drawing>
      </w:r>
    </w:p>
    <w:p>
      <w:pPr>
        <w:pStyle w:val="0"/>
        <w:jc w:val="both"/>
      </w:pPr>
      <w:r>
        <w:rPr>
          <w:sz w:val="20"/>
        </w:rPr>
      </w:r>
    </w:p>
    <w:p>
      <w:pPr>
        <w:pStyle w:val="0"/>
        <w:jc w:val="both"/>
      </w:pPr>
      <w:r>
        <w:rPr>
          <w:sz w:val="20"/>
        </w:rPr>
        <w:t xml:space="preserve">i-м году;</w:t>
      </w:r>
    </w:p>
    <w:p>
      <w:pPr>
        <w:pStyle w:val="0"/>
        <w:jc w:val="both"/>
      </w:pPr>
      <w:r>
        <w:rPr>
          <w:sz w:val="20"/>
        </w:rPr>
      </w:r>
    </w:p>
    <w:bookmarkStart w:id="851" w:name="P851"/>
    <w:bookmarkEnd w:id="851"/>
    <w:p>
      <w:pPr>
        <w:pStyle w:val="0"/>
        <w:jc w:val="center"/>
      </w:pPr>
      <w:r>
        <w:rPr>
          <w:position w:val="-9"/>
        </w:rPr>
        <w:drawing>
          <wp:inline distT="0" distB="0" distL="0" distR="0">
            <wp:extent cx="17754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1775460" cy="241300"/>
                    </a:xfrm>
                    <a:prstGeom prst="rect">
                      <a:avLst/>
                    </a:prstGeom>
                    <a:noFill/>
                    <a:ln>
                      <a:noFill/>
                    </a:ln>
                  </pic:spPr>
                </pic:pic>
              </a:graphicData>
            </a:graphic>
          </wp:inline>
        </w:drawing>
      </w:r>
    </w:p>
    <w:p>
      <w:pPr>
        <w:pStyle w:val="0"/>
        <w:jc w:val="both"/>
      </w:pPr>
      <w:r>
        <w:rPr>
          <w:sz w:val="20"/>
        </w:rPr>
      </w:r>
    </w:p>
    <w:p>
      <w:pPr>
        <w:pStyle w:val="0"/>
        <w:jc w:val="center"/>
      </w:pPr>
      <w:r>
        <w:rPr>
          <w:position w:val="-8"/>
        </w:rPr>
        <w:drawing>
          <wp:inline distT="0" distB="0" distL="0" distR="0">
            <wp:extent cx="24765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a:extLst>
                        <a:ext uri="{28A0092B-C50C-407E-A947-70E740481C1C}">
                          <a14:useLocalDpi xmlns:a14="http://schemas.microsoft.com/office/drawing/2010/main" val="0"/>
                        </a:ext>
                      </a:extLst>
                    </a:blip>
                    <a:srcRect/>
                    <a:stretch>
                      <a:fillRect/>
                    </a:stretch>
                  </pic:blipFill>
                  <pic:spPr bwMode="auto">
                    <a:xfrm>
                      <a:off x="0" y="0"/>
                      <a:ext cx="2476500" cy="240665"/>
                    </a:xfrm>
                    <a:prstGeom prst="rect">
                      <a:avLst/>
                    </a:prstGeom>
                    <a:noFill/>
                    <a:ln>
                      <a:noFill/>
                    </a:ln>
                  </pic:spPr>
                </pic:pic>
              </a:graphicData>
            </a:graphic>
          </wp:inline>
        </w:drawing>
      </w:r>
    </w:p>
    <w:p>
      <w:pPr>
        <w:pStyle w:val="0"/>
        <w:jc w:val="both"/>
      </w:pPr>
      <w:r>
        <w:rPr>
          <w:sz w:val="20"/>
        </w:rPr>
      </w:r>
    </w:p>
    <w:p>
      <w:pPr>
        <w:pStyle w:val="0"/>
        <w:jc w:val="center"/>
      </w:pPr>
      <w:r>
        <w:rPr>
          <w:position w:val="-11"/>
        </w:rPr>
        <w:drawing>
          <wp:inline distT="0" distB="0" distL="0" distR="0">
            <wp:extent cx="208026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2080260" cy="266700"/>
                    </a:xfrm>
                    <a:prstGeom prst="rect">
                      <a:avLst/>
                    </a:prstGeom>
                    <a:noFill/>
                    <a:ln>
                      <a:noFill/>
                    </a:ln>
                  </pic:spPr>
                </pic:pic>
              </a:graphicData>
            </a:graphic>
          </wp:inline>
        </w:drawing>
      </w:r>
    </w:p>
    <w:p>
      <w:pPr>
        <w:pStyle w:val="0"/>
        <w:jc w:val="both"/>
      </w:pPr>
      <w:r>
        <w:rPr>
          <w:sz w:val="20"/>
        </w:rPr>
      </w:r>
    </w:p>
    <w:p>
      <w:pPr>
        <w:pStyle w:val="0"/>
        <w:jc w:val="center"/>
      </w:pPr>
      <w:r>
        <w:rPr>
          <w:position w:val="-10"/>
        </w:rPr>
        <w:drawing>
          <wp:inline distT="0" distB="0" distL="0" distR="0">
            <wp:extent cx="38481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a:extLst>
                        <a:ext uri="{28A0092B-C50C-407E-A947-70E740481C1C}">
                          <a14:useLocalDpi xmlns:a14="http://schemas.microsoft.com/office/drawing/2010/main" val="0"/>
                        </a:ext>
                      </a:extLst>
                    </a:blip>
                    <a:srcRect/>
                    <a:stretch>
                      <a:fillRect/>
                    </a:stretch>
                  </pic:blipFill>
                  <pic:spPr bwMode="auto">
                    <a:xfrm>
                      <a:off x="0" y="0"/>
                      <a:ext cx="3848100" cy="254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;i0 - первый год текущего долгосрочного периода регулирования;</w:t>
      </w:r>
    </w:p>
    <w:p>
      <w:pPr>
        <w:pStyle w:val="0"/>
        <w:spacing w:before="200" w:lineRule="auto"/>
        <w:ind w:firstLine="540"/>
        <w:jc w:val="both"/>
      </w:pPr>
      <w:r>
        <w:rPr>
          <w:position w:val="-8"/>
        </w:rPr>
        <w:drawing>
          <wp:inline distT="0" distB="0" distL="0" distR="0">
            <wp:extent cx="3429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a:extLst>
                        <a:ext uri="{28A0092B-C50C-407E-A947-70E740481C1C}">
                          <a14:useLocalDpi xmlns:a14="http://schemas.microsoft.com/office/drawing/2010/main" val="0"/>
                        </a:ext>
                      </a:extLst>
                    </a:blip>
                    <a:srcRect/>
                    <a:stretch>
                      <a:fillRect/>
                    </a:stretch>
                  </pic:blipFill>
                  <pic:spPr bwMode="auto">
                    <a:xfrm>
                      <a:off x="0" y="0"/>
                      <a:ext cx="342900" cy="240665"/>
                    </a:xfrm>
                    <a:prstGeom prst="rect">
                      <a:avLst/>
                    </a:prstGeom>
                    <a:noFill/>
                    <a:ln>
                      <a:noFill/>
                    </a:ln>
                  </pic:spPr>
                </pic:pic>
              </a:graphicData>
            </a:graphic>
          </wp:inline>
        </w:drawing>
      </w:r>
      <w:r>
        <w:rPr>
          <w:sz w:val="20"/>
        </w:rPr>
        <w:t xml:space="preserve"> - операционные расходы, определенные на (i-2)-й год исходя из фактических значений параметров расчета тарифов, тыс. руб.;</w:t>
      </w:r>
    </w:p>
    <w:p>
      <w:pPr>
        <w:pStyle w:val="0"/>
        <w:spacing w:before="200" w:lineRule="auto"/>
        <w:ind w:firstLine="540"/>
        <w:jc w:val="both"/>
      </w:pPr>
      <w:r>
        <w:rPr>
          <w:position w:val="-8"/>
        </w:rPr>
        <w:drawing>
          <wp:inline distT="0" distB="0" distL="0" distR="0">
            <wp:extent cx="31686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a:extLst>
                        <a:ext uri="{28A0092B-C50C-407E-A947-70E740481C1C}">
                          <a14:useLocalDpi xmlns:a14="http://schemas.microsoft.com/office/drawing/2010/main" val="0"/>
                        </a:ext>
                      </a:extLst>
                    </a:blip>
                    <a:srcRect/>
                    <a:stretch>
                      <a:fillRect/>
                    </a:stretch>
                  </pic:blipFill>
                  <pic:spPr bwMode="auto">
                    <a:xfrm>
                      <a:off x="0" y="0"/>
                      <a:ext cx="316865" cy="228600"/>
                    </a:xfrm>
                    <a:prstGeom prst="rect">
                      <a:avLst/>
                    </a:prstGeom>
                    <a:noFill/>
                    <a:ln>
                      <a:noFill/>
                    </a:ln>
                  </pic:spPr>
                </pic:pic>
              </a:graphicData>
            </a:graphic>
          </wp:inline>
        </w:drawing>
      </w:r>
      <w:r>
        <w:rPr>
          <w:sz w:val="20"/>
        </w:rPr>
        <w:t xml:space="preserve"> - базовый уровень операционных расходов, установленный на долгосрочный период регулирования в соответствии с </w:t>
      </w:r>
      <w:hyperlink w:history="0" w:anchor="P352" w:tooltip="45. Операционные расходы на первый год долгосрочного периода регулирования (далее - базовый уровень операционных расходов) рассчитываются с применением метода экономически обоснованных расходов (затрат) в соответствии с пунктами 17 - 26 настоящих Методических указаний (за исключением расходов на электрическую энергию (мощность, тепловую энергию и другие виды энергетических ресурсов)). Операционные расходы на второй и последующие годы долгосрочного периода регулирования рассчитываются по формуле:">
        <w:r>
          <w:rPr>
            <w:sz w:val="20"/>
            <w:color w:val="0000ff"/>
          </w:rPr>
          <w:t xml:space="preserve">пунктом 45</w:t>
        </w:r>
      </w:hyperlink>
      <w:r>
        <w:rPr>
          <w:sz w:val="20"/>
        </w:rPr>
        <w:t xml:space="preserve"> настоящих Методических указаний, тыс. руб.;</w:t>
      </w:r>
    </w:p>
    <w:p>
      <w:pPr>
        <w:pStyle w:val="0"/>
        <w:spacing w:before="200" w:lineRule="auto"/>
        <w:ind w:firstLine="540"/>
        <w:jc w:val="both"/>
      </w:pPr>
      <w:r>
        <w:rPr>
          <w:position w:val="-9"/>
        </w:rPr>
        <w:drawing>
          <wp:inline distT="0" distB="0" distL="0" distR="0">
            <wp:extent cx="3924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a:extLst>
                        <a:ext uri="{28A0092B-C50C-407E-A947-70E740481C1C}">
                          <a14:useLocalDpi xmlns:a14="http://schemas.microsoft.com/office/drawing/2010/main" val="0"/>
                        </a:ext>
                      </a:extLst>
                    </a:blip>
                    <a:srcRect/>
                    <a:stretch>
                      <a:fillRect/>
                    </a:stretch>
                  </pic:blipFill>
                  <pic:spPr bwMode="auto">
                    <a:xfrm>
                      <a:off x="0" y="0"/>
                      <a:ext cx="392430" cy="241300"/>
                    </a:xfrm>
                    <a:prstGeom prst="rect">
                      <a:avLst/>
                    </a:prstGeom>
                    <a:noFill/>
                    <a:ln>
                      <a:noFill/>
                    </a:ln>
                  </pic:spPr>
                </pic:pic>
              </a:graphicData>
            </a:graphic>
          </wp:inline>
        </w:drawing>
      </w:r>
      <w:r>
        <w:rPr>
          <w:sz w:val="20"/>
        </w:rPr>
        <w:t xml:space="preserve"> - индекс эффективности операционных расходов, установленный на j-й год и выраженный в процентах;</w:t>
      </w:r>
    </w:p>
    <w:p>
      <w:pPr>
        <w:pStyle w:val="0"/>
        <w:spacing w:before="200" w:lineRule="auto"/>
        <w:ind w:firstLine="540"/>
        <w:jc w:val="both"/>
      </w:pPr>
      <w:r>
        <w:rPr>
          <w:position w:val="-10"/>
        </w:rPr>
        <w:drawing>
          <wp:inline distT="0" distB="0" distL="0" distR="0">
            <wp:extent cx="44640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val="0"/>
                        </a:ext>
                      </a:extLst>
                    </a:blip>
                    <a:srcRect/>
                    <a:stretch>
                      <a:fillRect/>
                    </a:stretch>
                  </pic:blipFill>
                  <pic:spPr bwMode="auto">
                    <a:xfrm>
                      <a:off x="0" y="0"/>
                      <a:ext cx="446405" cy="254000"/>
                    </a:xfrm>
                    <a:prstGeom prst="rect">
                      <a:avLst/>
                    </a:prstGeom>
                    <a:noFill/>
                    <a:ln>
                      <a:noFill/>
                    </a:ln>
                  </pic:spPr>
                </pic:pic>
              </a:graphicData>
            </a:graphic>
          </wp:inline>
        </w:drawing>
      </w:r>
      <w:r>
        <w:rPr>
          <w:sz w:val="20"/>
        </w:rPr>
        <w:t xml:space="preserve"> - фактический индекс изменения потребительских цен в j-м году;</w:t>
      </w:r>
    </w:p>
    <w:p>
      <w:pPr>
        <w:pStyle w:val="0"/>
        <w:spacing w:before="200" w:lineRule="auto"/>
        <w:ind w:firstLine="540"/>
        <w:jc w:val="both"/>
      </w:pPr>
      <w:r>
        <w:rPr>
          <w:position w:val="-10"/>
        </w:rPr>
        <w:drawing>
          <wp:inline distT="0" distB="0" distL="0" distR="0">
            <wp:extent cx="42989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a:extLst>
                        <a:ext uri="{28A0092B-C50C-407E-A947-70E740481C1C}">
                          <a14:useLocalDpi xmlns:a14="http://schemas.microsoft.com/office/drawing/2010/main" val="0"/>
                        </a:ext>
                      </a:extLst>
                    </a:blip>
                    <a:srcRect/>
                    <a:stretch>
                      <a:fillRect/>
                    </a:stretch>
                  </pic:blipFill>
                  <pic:spPr bwMode="auto">
                    <a:xfrm>
                      <a:off x="0" y="0"/>
                      <a:ext cx="429895" cy="254000"/>
                    </a:xfrm>
                    <a:prstGeom prst="rect">
                      <a:avLst/>
                    </a:prstGeom>
                    <a:noFill/>
                    <a:ln>
                      <a:noFill/>
                    </a:ln>
                  </pic:spPr>
                </pic:pic>
              </a:graphicData>
            </a:graphic>
          </wp:inline>
        </w:drawing>
      </w:r>
      <w:r>
        <w:rPr>
          <w:sz w:val="20"/>
        </w:rPr>
        <w:t xml:space="preserve"> - фактический индекс изменения количества активов в (j)-м году, рассчитываемый в соответствии с </w:t>
      </w:r>
      <w:hyperlink w:history="0" w:anchor="P368" w:tooltip=", (8.1)">
        <w:r>
          <w:rPr>
            <w:sz w:val="20"/>
            <w:color w:val="0000ff"/>
          </w:rPr>
          <w:t xml:space="preserve">формулой 8.1</w:t>
        </w:r>
      </w:hyperlink>
      <w:r>
        <w:rPr>
          <w:sz w:val="20"/>
        </w:rPr>
        <w:t xml:space="preserve"> настоящих Методических указаний;</w:t>
      </w:r>
    </w:p>
    <w:p>
      <w:pPr>
        <w:pStyle w:val="0"/>
        <w:spacing w:before="200" w:lineRule="auto"/>
        <w:ind w:firstLine="540"/>
        <w:jc w:val="both"/>
      </w:pPr>
      <w:r>
        <w:rPr>
          <w:position w:val="-9"/>
        </w:rPr>
        <w:drawing>
          <wp:inline distT="0" distB="0" distL="0" distR="0">
            <wp:extent cx="3695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a:extLst>
                        <a:ext uri="{28A0092B-C50C-407E-A947-70E740481C1C}">
                          <a14:useLocalDpi xmlns:a14="http://schemas.microsoft.com/office/drawing/2010/main" val="0"/>
                        </a:ext>
                      </a:extLst>
                    </a:blip>
                    <a:srcRect/>
                    <a:stretch>
                      <a:fillRect/>
                    </a:stretch>
                  </pic:blipFill>
                  <pic:spPr bwMode="auto">
                    <a:xfrm>
                      <a:off x="0" y="0"/>
                      <a:ext cx="369570" cy="241300"/>
                    </a:xfrm>
                    <a:prstGeom prst="rect">
                      <a:avLst/>
                    </a:prstGeom>
                    <a:noFill/>
                    <a:ln>
                      <a:noFill/>
                    </a:ln>
                  </pic:spPr>
                </pic:pic>
              </a:graphicData>
            </a:graphic>
          </wp:inline>
        </w:drawing>
      </w:r>
      <w:r>
        <w:rPr>
          <w:sz w:val="20"/>
        </w:rPr>
        <w:t xml:space="preserve"> - расходы на электрическую энергию, определенные на (i-2)-й год исходя из фактических значений параметров расчета тарифов, тыс. руб.;</w:t>
      </w:r>
    </w:p>
    <w:p>
      <w:pPr>
        <w:pStyle w:val="0"/>
        <w:spacing w:before="200" w:lineRule="auto"/>
        <w:ind w:firstLine="540"/>
        <w:jc w:val="both"/>
      </w:pPr>
      <w:r>
        <w:rPr>
          <w:position w:val="-9"/>
        </w:rPr>
        <w:drawing>
          <wp:inline distT="0" distB="0" distL="0" distR="0">
            <wp:extent cx="381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rPr>
          <w:sz w:val="20"/>
        </w:rPr>
        <w:t xml:space="preserve"> - удельное потребление электрической энергии в (i-2)-м году, установленное на соответствующий год, тыс. кВтч/куб. м;</w:t>
      </w:r>
    </w:p>
    <w:p>
      <w:pPr>
        <w:pStyle w:val="0"/>
        <w:spacing w:before="200" w:lineRule="auto"/>
        <w:ind w:firstLine="540"/>
        <w:jc w:val="both"/>
      </w:pPr>
      <w:r>
        <w:rPr>
          <w:position w:val="-9"/>
        </w:rPr>
        <w:drawing>
          <wp:inline distT="0" distB="0" distL="0" distR="0">
            <wp:extent cx="266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a:extLst>
                        <a:ext uri="{28A0092B-C50C-407E-A947-70E740481C1C}">
                          <a14:useLocalDpi xmlns:a14="http://schemas.microsoft.com/office/drawing/2010/main" val="0"/>
                        </a:ext>
                      </a:extLst>
                    </a:blip>
                    <a:srcRect/>
                    <a:stretch>
                      <a:fillRect/>
                    </a:stretch>
                  </pic:blipFill>
                  <pic:spPr bwMode="auto">
                    <a:xfrm>
                      <a:off x="0" y="0"/>
                      <a:ext cx="266700" cy="241300"/>
                    </a:xfrm>
                    <a:prstGeom prst="rect">
                      <a:avLst/>
                    </a:prstGeom>
                    <a:noFill/>
                    <a:ln>
                      <a:noFill/>
                    </a:ln>
                  </pic:spPr>
                </pic:pic>
              </a:graphicData>
            </a:graphic>
          </wp:inline>
        </w:drawing>
      </w:r>
      <w:r>
        <w:rPr>
          <w:sz w:val="20"/>
        </w:rPr>
        <w:t xml:space="preserve"> - фактический объем поданной воды (принятых сточных вод) в i-2 году, тыс. куб. м;</w:t>
      </w:r>
    </w:p>
    <w:p>
      <w:pPr>
        <w:pStyle w:val="0"/>
        <w:spacing w:before="200" w:lineRule="auto"/>
        <w:ind w:firstLine="540"/>
        <w:jc w:val="both"/>
      </w:pPr>
      <w:r>
        <w:rPr>
          <w:position w:val="-8"/>
        </w:rPr>
        <w:drawing>
          <wp:inline distT="0" distB="0" distL="0" distR="0">
            <wp:extent cx="5334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a:extLst>
                        <a:ext uri="{28A0092B-C50C-407E-A947-70E740481C1C}">
                          <a14:useLocalDpi xmlns:a14="http://schemas.microsoft.com/office/drawing/2010/main" val="0"/>
                        </a:ext>
                      </a:extLst>
                    </a:blip>
                    <a:srcRect/>
                    <a:stretch>
                      <a:fillRect/>
                    </a:stretch>
                  </pic:blipFill>
                  <pic:spPr bwMode="auto">
                    <a:xfrm>
                      <a:off x="0" y="0"/>
                      <a:ext cx="533400" cy="240665"/>
                    </a:xfrm>
                    <a:prstGeom prst="rect">
                      <a:avLst/>
                    </a:prstGeom>
                    <a:noFill/>
                    <a:ln>
                      <a:noFill/>
                    </a:ln>
                  </pic:spPr>
                </pic:pic>
              </a:graphicData>
            </a:graphic>
          </wp:inline>
        </w:drawing>
      </w:r>
      <w:r>
        <w:rPr>
          <w:sz w:val="20"/>
        </w:rPr>
        <w:t xml:space="preserve"> - фактическая (расчетная) цена на электрическую энергию, определяемая в i-2 году, руб./кВт час;</w:t>
      </w:r>
    </w:p>
    <w:p>
      <w:pPr>
        <w:pStyle w:val="0"/>
        <w:spacing w:before="200" w:lineRule="auto"/>
        <w:ind w:firstLine="540"/>
        <w:jc w:val="both"/>
      </w:pPr>
      <w:r>
        <w:rPr>
          <w:position w:val="-9"/>
        </w:rPr>
        <w:drawing>
          <wp:inline distT="0" distB="0" distL="0" distR="0">
            <wp:extent cx="3543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a:extLst>
                        <a:ext uri="{28A0092B-C50C-407E-A947-70E740481C1C}">
                          <a14:useLocalDpi xmlns:a14="http://schemas.microsoft.com/office/drawing/2010/main" val="0"/>
                        </a:ext>
                      </a:extLst>
                    </a:blip>
                    <a:srcRect/>
                    <a:stretch>
                      <a:fillRect/>
                    </a:stretch>
                  </pic:blipFill>
                  <pic:spPr bwMode="auto">
                    <a:xfrm>
                      <a:off x="0" y="0"/>
                      <a:ext cx="354330" cy="241300"/>
                    </a:xfrm>
                    <a:prstGeom prst="rect">
                      <a:avLst/>
                    </a:prstGeom>
                    <a:noFill/>
                    <a:ln>
                      <a:noFill/>
                    </a:ln>
                  </pic:spPr>
                </pic:pic>
              </a:graphicData>
            </a:graphic>
          </wp:inline>
        </w:drawing>
      </w:r>
      <w:r>
        <w:rPr>
          <w:sz w:val="20"/>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pPr>
        <w:pStyle w:val="0"/>
        <w:spacing w:before="200" w:lineRule="auto"/>
        <w:ind w:firstLine="540"/>
        <w:jc w:val="both"/>
      </w:pPr>
      <w:r>
        <w:rPr>
          <w:position w:val="-10"/>
        </w:rPr>
        <w:drawing>
          <wp:inline distT="0" distB="0" distL="0" distR="0">
            <wp:extent cx="31686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a:extLst>
                        <a:ext uri="{28A0092B-C50C-407E-A947-70E740481C1C}">
                          <a14:useLocalDpi xmlns:a14="http://schemas.microsoft.com/office/drawing/2010/main" val="0"/>
                        </a:ext>
                      </a:extLst>
                    </a:blip>
                    <a:srcRect/>
                    <a:stretch>
                      <a:fillRect/>
                    </a:stretch>
                  </pic:blipFill>
                  <pic:spPr bwMode="auto">
                    <a:xfrm>
                      <a:off x="0" y="0"/>
                      <a:ext cx="316865" cy="254000"/>
                    </a:xfrm>
                    <a:prstGeom prst="rect">
                      <a:avLst/>
                    </a:prstGeom>
                    <a:noFill/>
                    <a:ln>
                      <a:noFill/>
                    </a:ln>
                  </pic:spPr>
                </pic:pic>
              </a:graphicData>
            </a:graphic>
          </wp:inline>
        </w:drawing>
      </w:r>
      <w:r>
        <w:rPr>
          <w:sz w:val="20"/>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pPr>
        <w:pStyle w:val="0"/>
        <w:spacing w:before="200" w:lineRule="auto"/>
        <w:ind w:firstLine="540"/>
        <w:jc w:val="both"/>
      </w:pPr>
      <w:r>
        <w:rPr>
          <w:position w:val="-10"/>
        </w:rPr>
        <w:drawing>
          <wp:inline distT="0" distB="0" distL="0" distR="0">
            <wp:extent cx="44640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a:extLst>
                        <a:ext uri="{28A0092B-C50C-407E-A947-70E740481C1C}">
                          <a14:useLocalDpi xmlns:a14="http://schemas.microsoft.com/office/drawing/2010/main" val="0"/>
                        </a:ext>
                      </a:extLst>
                    </a:blip>
                    <a:srcRect/>
                    <a:stretch>
                      <a:fillRect/>
                    </a:stretch>
                  </pic:blipFill>
                  <pic:spPr bwMode="auto">
                    <a:xfrm>
                      <a:off x="0" y="0"/>
                      <a:ext cx="446405" cy="254000"/>
                    </a:xfrm>
                    <a:prstGeom prst="rect">
                      <a:avLst/>
                    </a:prstGeom>
                    <a:noFill/>
                    <a:ln>
                      <a:noFill/>
                    </a:ln>
                  </pic:spPr>
                </pic:pic>
              </a:graphicData>
            </a:graphic>
          </wp:inline>
        </w:drawing>
      </w:r>
      <w:r>
        <w:rPr>
          <w:sz w:val="20"/>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pPr>
        <w:pStyle w:val="0"/>
        <w:spacing w:before="200" w:lineRule="auto"/>
        <w:ind w:firstLine="540"/>
        <w:jc w:val="both"/>
      </w:pPr>
      <w:r>
        <w:rPr>
          <w:position w:val="-9"/>
        </w:rPr>
        <w:drawing>
          <wp:inline distT="0" distB="0" distL="0" distR="0">
            <wp:extent cx="3543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a:extLst>
                        <a:ext uri="{28A0092B-C50C-407E-A947-70E740481C1C}">
                          <a14:useLocalDpi xmlns:a14="http://schemas.microsoft.com/office/drawing/2010/main" val="0"/>
                        </a:ext>
                      </a:extLst>
                    </a:blip>
                    <a:srcRect/>
                    <a:stretch>
                      <a:fillRect/>
                    </a:stretch>
                  </pic:blipFill>
                  <pic:spPr bwMode="auto">
                    <a:xfrm>
                      <a:off x="0" y="0"/>
                      <a:ext cx="354330" cy="241300"/>
                    </a:xfrm>
                    <a:prstGeom prst="rect">
                      <a:avLst/>
                    </a:prstGeom>
                    <a:noFill/>
                    <a:ln>
                      <a:noFill/>
                    </a:ln>
                  </pic:spPr>
                </pic:pic>
              </a:graphicData>
            </a:graphic>
          </wp:inline>
        </w:drawing>
      </w:r>
      <w:r>
        <w:rPr>
          <w:sz w:val="20"/>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в результате эксплуатации цифровой инфраструктуры в сфере водоснабжения и водоотведения),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pPr>
        <w:pStyle w:val="0"/>
        <w:jc w:val="both"/>
      </w:pPr>
      <w:r>
        <w:rPr>
          <w:sz w:val="20"/>
        </w:rPr>
        <w:t xml:space="preserve">(в ред. </w:t>
      </w:r>
      <w:hyperlink w:history="0" r:id="rId398"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position w:val="-8"/>
        </w:rPr>
        <w:drawing>
          <wp:inline distT="0" distB="0" distL="0" distR="0">
            <wp:extent cx="35433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a:extLst>
                        <a:ext uri="{28A0092B-C50C-407E-A947-70E740481C1C}">
                          <a14:useLocalDpi xmlns:a14="http://schemas.microsoft.com/office/drawing/2010/main" val="0"/>
                        </a:ext>
                      </a:extLst>
                    </a:blip>
                    <a:srcRect/>
                    <a:stretch>
                      <a:fillRect/>
                    </a:stretch>
                  </pic:blipFill>
                  <pic:spPr bwMode="auto">
                    <a:xfrm>
                      <a:off x="0" y="0"/>
                      <a:ext cx="354330" cy="228600"/>
                    </a:xfrm>
                    <a:prstGeom prst="rect">
                      <a:avLst/>
                    </a:prstGeom>
                    <a:noFill/>
                    <a:ln>
                      <a:noFill/>
                    </a:ln>
                  </pic:spPr>
                </pic:pic>
              </a:graphicData>
            </a:graphic>
          </wp:inline>
        </w:drawing>
      </w:r>
      <w:r>
        <w:rPr>
          <w:sz w:val="20"/>
        </w:rPr>
        <w:t xml:space="preserve"> - суммарная экономия от снижения операционных расходов и от снижения потребления энергетических ресурсов, холодной воды и теплоносителя (в том числе в результате эксплуатации цифровой инфраструктуры в сфере водоснабжения и водоотведения),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w:history="0" w:anchor="P433" w:tooltip="56. Экономия средств, достигнутая в результате снижения расходов предыдущего долгосрочного периода регулирования (в том числе в результате эксплуатации цифровой инфраструктуры в сфере водоснабжения и водоотведения), включается в неподконтрольные расходы и учитывается в составе необходимой валовой выручки в течение очередного долгосрочного периода регулирования, в размере, определенном по формуле:">
        <w:r>
          <w:rPr>
            <w:sz w:val="20"/>
            <w:color w:val="0000ff"/>
          </w:rPr>
          <w:t xml:space="preserve">пунктом 56</w:t>
        </w:r>
      </w:hyperlink>
      <w:r>
        <w:rPr>
          <w:sz w:val="20"/>
        </w:rPr>
        <w:t xml:space="preserve"> настоящих Методических указаний, тыс. руб.</w:t>
      </w:r>
    </w:p>
    <w:p>
      <w:pPr>
        <w:pStyle w:val="0"/>
        <w:jc w:val="both"/>
      </w:pPr>
      <w:r>
        <w:rPr>
          <w:sz w:val="20"/>
        </w:rPr>
        <w:t xml:space="preserve">(в ред. </w:t>
      </w:r>
      <w:hyperlink w:history="0" r:id="rId400"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sz w:val="20"/>
        </w:rPr>
        <w:t xml:space="preserve">При определении фактических расходов учитываются расходы на приобретение электрической энергии (мощности) в объеме, определенном исходя из удельных расходов на электрическую энергию в расчете на общий объем воды, в отношении которой, осуществляется водоподготовка, и (или) на общий объем транспортируемой питьевой воды (общий объем сточных вод, подвергающихся очистке, и (или) общий объем транспортируемых сточных вод), и объема используемой мощности, а также исходя из фактических цен (тарифов) на электрическую энергию (мощность).</w:t>
      </w:r>
    </w:p>
    <w:p>
      <w:pPr>
        <w:pStyle w:val="0"/>
        <w:jc w:val="both"/>
      </w:pPr>
      <w:r>
        <w:rPr>
          <w:sz w:val="20"/>
        </w:rPr>
        <w:t xml:space="preserve">(абзац введен </w:t>
      </w:r>
      <w:hyperlink w:history="0" r:id="rId401"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Приказом</w:t>
        </w:r>
      </w:hyperlink>
      <w:r>
        <w:rPr>
          <w:sz w:val="20"/>
        </w:rPr>
        <w:t xml:space="preserve"> ФАС России от 08.10.2020 N 976/20)</w:t>
      </w:r>
    </w:p>
    <w:p>
      <w:pPr>
        <w:pStyle w:val="0"/>
        <w:jc w:val="both"/>
      </w:pPr>
      <w:r>
        <w:rPr>
          <w:sz w:val="20"/>
        </w:rPr>
        <w:t xml:space="preserve">(п. 95 в ред. </w:t>
      </w:r>
      <w:hyperlink w:history="0" r:id="rId402"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rPr>
        <w:t xml:space="preserve"> ФАС России от 29.10.2019 N 1438/19)</w:t>
      </w:r>
    </w:p>
    <w:p>
      <w:pPr>
        <w:pStyle w:val="0"/>
        <w:jc w:val="both"/>
      </w:pPr>
      <w:r>
        <w:rPr>
          <w:sz w:val="20"/>
        </w:rPr>
      </w:r>
    </w:p>
    <w:bookmarkStart w:id="881" w:name="P881"/>
    <w:bookmarkEnd w:id="881"/>
    <w:p>
      <w:pPr>
        <w:pStyle w:val="2"/>
        <w:outlineLvl w:val="1"/>
        <w:jc w:val="center"/>
      </w:pPr>
      <w:r>
        <w:rPr>
          <w:sz w:val="20"/>
        </w:rPr>
        <w:t xml:space="preserve">VIII. Расчет одноставочных тарифов в сфере водоснабжения</w:t>
      </w:r>
    </w:p>
    <w:p>
      <w:pPr>
        <w:pStyle w:val="2"/>
        <w:jc w:val="center"/>
      </w:pPr>
      <w:r>
        <w:rPr>
          <w:sz w:val="20"/>
        </w:rPr>
        <w:t xml:space="preserve">и водоотведения</w:t>
      </w:r>
    </w:p>
    <w:p>
      <w:pPr>
        <w:pStyle w:val="0"/>
        <w:jc w:val="both"/>
      </w:pPr>
      <w:r>
        <w:rPr>
          <w:sz w:val="20"/>
        </w:rPr>
      </w:r>
    </w:p>
    <w:p>
      <w:pPr>
        <w:pStyle w:val="0"/>
        <w:ind w:firstLine="540"/>
        <w:jc w:val="both"/>
      </w:pPr>
      <w:r>
        <w:rPr>
          <w:sz w:val="20"/>
        </w:rPr>
        <w:t xml:space="preserve">96. 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одноставочных тарифов рассчитываются в соответствии с формулой:</w:t>
      </w:r>
    </w:p>
    <w:p>
      <w:pPr>
        <w:pStyle w:val="0"/>
        <w:jc w:val="both"/>
      </w:pPr>
      <w:r>
        <w:rPr>
          <w:sz w:val="20"/>
        </w:rPr>
      </w:r>
    </w:p>
    <w:p>
      <w:pPr>
        <w:pStyle w:val="0"/>
        <w:jc w:val="center"/>
      </w:pPr>
      <w:r>
        <w:rPr>
          <w:position w:val="-23"/>
        </w:rPr>
        <w:drawing>
          <wp:inline distT="0" distB="0" distL="0" distR="0">
            <wp:extent cx="6858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r>
        <w:rPr>
          <w:sz w:val="20"/>
        </w:rPr>
        <w:t xml:space="preserve">, (42)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7"/>
        </w:rPr>
        <w:drawing>
          <wp:inline distT="0" distB="0" distL="0" distR="0">
            <wp:extent cx="184150" cy="227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a:extLst>
                        <a:ext uri="{28A0092B-C50C-407E-A947-70E740481C1C}">
                          <a14:useLocalDpi xmlns:a14="http://schemas.microsoft.com/office/drawing/2010/main" val="0"/>
                        </a:ext>
                      </a:extLst>
                    </a:blip>
                    <a:srcRect/>
                    <a:stretch>
                      <a:fillRect/>
                    </a:stretch>
                  </pic:blipFill>
                  <pic:spPr bwMode="auto">
                    <a:xfrm>
                      <a:off x="0" y="0"/>
                      <a:ext cx="184150" cy="227965"/>
                    </a:xfrm>
                    <a:prstGeom prst="rect">
                      <a:avLst/>
                    </a:prstGeom>
                    <a:noFill/>
                    <a:ln>
                      <a:noFill/>
                    </a:ln>
                  </pic:spPr>
                </pic:pic>
              </a:graphicData>
            </a:graphic>
          </wp:inline>
        </w:drawing>
      </w:r>
      <w:r>
        <w:rPr>
          <w:sz w:val="20"/>
        </w:rPr>
        <w:t xml:space="preserve"> - тариф регулируемой организации, устанавливаемый на i-ый год, руб./куб. м;</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pPr>
        <w:pStyle w:val="0"/>
        <w:jc w:val="both"/>
      </w:pPr>
      <w:r>
        <w:rPr>
          <w:sz w:val="20"/>
        </w:rPr>
      </w:r>
    </w:p>
    <w:bookmarkStart w:id="893" w:name="P893"/>
    <w:bookmarkEnd w:id="893"/>
    <w:p>
      <w:pPr>
        <w:pStyle w:val="2"/>
        <w:outlineLvl w:val="2"/>
        <w:jc w:val="center"/>
      </w:pPr>
      <w:r>
        <w:rPr>
          <w:sz w:val="20"/>
        </w:rPr>
        <w:t xml:space="preserve">VIII.I. Расчет двухставочных и многоставочных тарифов</w:t>
      </w:r>
    </w:p>
    <w:p>
      <w:pPr>
        <w:pStyle w:val="2"/>
        <w:jc w:val="center"/>
      </w:pPr>
      <w:r>
        <w:rPr>
          <w:sz w:val="20"/>
        </w:rPr>
        <w:t xml:space="preserve">в сфере водоснабжения и водоотведения</w:t>
      </w:r>
    </w:p>
    <w:p>
      <w:pPr>
        <w:pStyle w:val="0"/>
        <w:jc w:val="both"/>
      </w:pPr>
      <w:r>
        <w:rPr>
          <w:sz w:val="20"/>
        </w:rPr>
      </w:r>
    </w:p>
    <w:p>
      <w:pPr>
        <w:pStyle w:val="0"/>
        <w:ind w:firstLine="540"/>
        <w:jc w:val="both"/>
      </w:pPr>
      <w:r>
        <w:rPr>
          <w:sz w:val="20"/>
        </w:rPr>
        <w:t xml:space="preserve">97. Тарифы регулируемых организаций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двухставочных тарифов в соответствии с формулами:</w:t>
      </w:r>
    </w:p>
    <w:p>
      <w:pPr>
        <w:pStyle w:val="0"/>
        <w:jc w:val="both"/>
      </w:pPr>
      <w:r>
        <w:rPr>
          <w:sz w:val="20"/>
        </w:rPr>
      </w:r>
    </w:p>
    <w:p>
      <w:pPr>
        <w:pStyle w:val="0"/>
        <w:jc w:val="center"/>
      </w:pPr>
      <w:r>
        <w:rPr>
          <w:position w:val="-26"/>
        </w:rPr>
        <w:drawing>
          <wp:inline distT="0" distB="0" distL="0" distR="0">
            <wp:extent cx="910590" cy="461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910590" cy="461645"/>
                    </a:xfrm>
                    <a:prstGeom prst="rect">
                      <a:avLst/>
                    </a:prstGeom>
                    <a:noFill/>
                    <a:ln>
                      <a:noFill/>
                    </a:ln>
                  </pic:spPr>
                </pic:pic>
              </a:graphicData>
            </a:graphic>
          </wp:inline>
        </w:drawing>
      </w:r>
      <w:r>
        <w:rPr>
          <w:sz w:val="20"/>
        </w:rPr>
        <w:t xml:space="preserve">, (43)</w:t>
      </w:r>
    </w:p>
    <w:p>
      <w:pPr>
        <w:pStyle w:val="0"/>
        <w:jc w:val="both"/>
      </w:pPr>
      <w:r>
        <w:rPr>
          <w:sz w:val="20"/>
        </w:rPr>
      </w:r>
    </w:p>
    <w:p>
      <w:pPr>
        <w:pStyle w:val="0"/>
        <w:jc w:val="center"/>
      </w:pPr>
      <w:r>
        <w:rPr>
          <w:position w:val="-26"/>
        </w:rPr>
        <w:drawing>
          <wp:inline distT="0" distB="0" distL="0" distR="0">
            <wp:extent cx="968375" cy="461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a:extLst>
                        <a:ext uri="{28A0092B-C50C-407E-A947-70E740481C1C}">
                          <a14:useLocalDpi xmlns:a14="http://schemas.microsoft.com/office/drawing/2010/main" val="0"/>
                        </a:ext>
                      </a:extLst>
                    </a:blip>
                    <a:srcRect/>
                    <a:stretch>
                      <a:fillRect/>
                    </a:stretch>
                  </pic:blipFill>
                  <pic:spPr bwMode="auto">
                    <a:xfrm>
                      <a:off x="0" y="0"/>
                      <a:ext cx="968375" cy="461645"/>
                    </a:xfrm>
                    <a:prstGeom prst="rect">
                      <a:avLst/>
                    </a:prstGeom>
                    <a:noFill/>
                    <a:ln>
                      <a:noFill/>
                    </a:ln>
                  </pic:spPr>
                </pic:pic>
              </a:graphicData>
            </a:graphic>
          </wp:inline>
        </w:drawing>
      </w:r>
      <w:r>
        <w:rPr>
          <w:sz w:val="20"/>
        </w:rPr>
        <w:t xml:space="preserve">, (43.1)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794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a:extLst>
                        <a:ext uri="{28A0092B-C50C-407E-A947-70E740481C1C}">
                          <a14:useLocalDpi xmlns:a14="http://schemas.microsoft.com/office/drawing/2010/main" val="0"/>
                        </a:ext>
                      </a:extLst>
                    </a:blip>
                    <a:srcRect/>
                    <a:stretch>
                      <a:fillRect/>
                    </a:stretch>
                  </pic:blipFill>
                  <pic:spPr bwMode="auto">
                    <a:xfrm>
                      <a:off x="0" y="0"/>
                      <a:ext cx="279400" cy="253365"/>
                    </a:xfrm>
                    <a:prstGeom prst="rect">
                      <a:avLst/>
                    </a:prstGeom>
                    <a:noFill/>
                    <a:ln>
                      <a:noFill/>
                    </a:ln>
                  </pic:spPr>
                </pic:pic>
              </a:graphicData>
            </a:graphic>
          </wp:inline>
        </w:drawing>
      </w:r>
      <w:r>
        <w:rPr>
          <w:sz w:val="20"/>
        </w:rPr>
        <w:t xml:space="preserve"> - ставка платы за объем поданной воды или принятых сточных вод соответственно, рассчитанная на i-ый год, руб./куб. м;</w:t>
      </w:r>
    </w:p>
    <w:p>
      <w:pPr>
        <w:pStyle w:val="0"/>
        <w:spacing w:before="200" w:lineRule="auto"/>
        <w:ind w:firstLine="540"/>
        <w:jc w:val="both"/>
      </w:pPr>
      <w:r>
        <w:rPr>
          <w:position w:val="-9"/>
        </w:rPr>
        <w:drawing>
          <wp:inline distT="0" distB="0" distL="0" distR="0">
            <wp:extent cx="31686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a:extLst>
                        <a:ext uri="{28A0092B-C50C-407E-A947-70E740481C1C}">
                          <a14:useLocalDpi xmlns:a14="http://schemas.microsoft.com/office/drawing/2010/main" val="0"/>
                        </a:ext>
                      </a:extLst>
                    </a:blip>
                    <a:srcRect/>
                    <a:stretch>
                      <a:fillRect/>
                    </a:stretch>
                  </pic:blipFill>
                  <pic:spPr bwMode="auto">
                    <a:xfrm>
                      <a:off x="0" y="0"/>
                      <a:ext cx="316865" cy="253365"/>
                    </a:xfrm>
                    <a:prstGeom prst="rect">
                      <a:avLst/>
                    </a:prstGeom>
                    <a:noFill/>
                    <a:ln>
                      <a:noFill/>
                    </a:ln>
                  </pic:spPr>
                </pic:pic>
              </a:graphicData>
            </a:graphic>
          </wp:inline>
        </w:drawing>
      </w:r>
      <w:r>
        <w:rPr>
          <w:sz w:val="20"/>
        </w:rPr>
        <w:t xml:space="preserve"> - ставка платы за содержание мощности, рассчитанная на i-ый год, руб./куб. м в час;</w:t>
      </w:r>
    </w:p>
    <w:p>
      <w:pPr>
        <w:pStyle w:val="0"/>
        <w:spacing w:before="200" w:lineRule="auto"/>
        <w:ind w:firstLine="540"/>
        <w:jc w:val="both"/>
      </w:pPr>
      <w:r>
        <w:rPr>
          <w:position w:val="-9"/>
        </w:rPr>
        <w:drawing>
          <wp:inline distT="0" distB="0" distL="0" distR="0">
            <wp:extent cx="50038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a:extLst>
                        <a:ext uri="{28A0092B-C50C-407E-A947-70E740481C1C}">
                          <a14:useLocalDpi xmlns:a14="http://schemas.microsoft.com/office/drawing/2010/main" val="0"/>
                        </a:ext>
                      </a:extLst>
                    </a:blip>
                    <a:srcRect/>
                    <a:stretch>
                      <a:fillRect/>
                    </a:stretch>
                  </pic:blipFill>
                  <pic:spPr bwMode="auto">
                    <a:xfrm>
                      <a:off x="0" y="0"/>
                      <a:ext cx="500380" cy="253365"/>
                    </a:xfrm>
                    <a:prstGeom prst="rect">
                      <a:avLst/>
                    </a:prstGeom>
                    <a:noFill/>
                    <a:ln>
                      <a:noFill/>
                    </a:ln>
                  </pic:spPr>
                </pic:pic>
              </a:graphicData>
            </a:graphic>
          </wp:inline>
        </w:drawing>
      </w:r>
      <w:r>
        <w:rPr>
          <w:sz w:val="20"/>
        </w:rPr>
        <w:t xml:space="preserve"> - необходимая валовая выручка регулируемой организации в части условно переменных расходов, рассчитанная на i-ый год, руб.;</w:t>
      </w:r>
    </w:p>
    <w:p>
      <w:pPr>
        <w:pStyle w:val="0"/>
        <w:spacing w:before="200" w:lineRule="auto"/>
        <w:ind w:firstLine="540"/>
        <w:jc w:val="both"/>
      </w:pPr>
      <w:r>
        <w:rPr>
          <w:position w:val="-9"/>
        </w:rPr>
        <w:drawing>
          <wp:inline distT="0" distB="0" distL="0" distR="0">
            <wp:extent cx="5334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a:extLst>
                        <a:ext uri="{28A0092B-C50C-407E-A947-70E740481C1C}">
                          <a14:useLocalDpi xmlns:a14="http://schemas.microsoft.com/office/drawing/2010/main" val="0"/>
                        </a:ext>
                      </a:extLst>
                    </a:blip>
                    <a:srcRect/>
                    <a:stretch>
                      <a:fillRect/>
                    </a:stretch>
                  </pic:blipFill>
                  <pic:spPr bwMode="auto">
                    <a:xfrm>
                      <a:off x="0" y="0"/>
                      <a:ext cx="533400" cy="253365"/>
                    </a:xfrm>
                    <a:prstGeom prst="rect">
                      <a:avLst/>
                    </a:prstGeom>
                    <a:noFill/>
                    <a:ln>
                      <a:noFill/>
                    </a:ln>
                  </pic:spPr>
                </pic:pic>
              </a:graphicData>
            </a:graphic>
          </wp:inline>
        </w:drawing>
      </w:r>
      <w:r>
        <w:rPr>
          <w:sz w:val="20"/>
        </w:rPr>
        <w:t xml:space="preserve"> - необходимая валовая выручка регулируемой организации в части условно постоянных расходов, рассчитанная на i-ый год, руб.;</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pPr>
        <w:pStyle w:val="0"/>
        <w:spacing w:before="200" w:lineRule="auto"/>
        <w:ind w:firstLine="540"/>
        <w:jc w:val="both"/>
      </w:pPr>
      <w:r>
        <w:rPr>
          <w:position w:val="-8"/>
        </w:rPr>
        <w:drawing>
          <wp:inline distT="0" distB="0" distL="0" distR="0">
            <wp:extent cx="228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0"/>
        </w:rPr>
        <w:t xml:space="preserve"> - нагрузка (мощность) объектов абонентов, присоединенная к водопроводным или канализационным сетям i-той регулируемой организации (за исключением нагрузки систем пожаротушения в многоквартирных домах), куб. м/час.</w:t>
      </w:r>
    </w:p>
    <w:p>
      <w:pPr>
        <w:pStyle w:val="0"/>
        <w:spacing w:before="200" w:lineRule="auto"/>
        <w:ind w:firstLine="540"/>
        <w:jc w:val="both"/>
      </w:pPr>
      <w:r>
        <w:rPr>
          <w:sz w:val="20"/>
        </w:rPr>
        <w:t xml:space="preserve">98. Необходимая валовая выручка в части условно постоянных расходов определяется как фиксированная часть необходимой валовой выручки, которая рассчитывается исходя из объема ремонтных расходов, амортизации и расходов, осуществляемых из прибыли регулируемой организации. При применении метода доходности инвестированного капитала при расчете необходимой валовой выручки в части условно постоянных расходов учитываются возврат и доход на инвестированный капитал, а также часть операционных расходов, относящаяся к ремонтным расходам.</w:t>
      </w:r>
    </w:p>
    <w:p>
      <w:pPr>
        <w:pStyle w:val="0"/>
        <w:spacing w:before="200" w:lineRule="auto"/>
        <w:ind w:firstLine="540"/>
        <w:jc w:val="both"/>
      </w:pPr>
      <w:r>
        <w:rPr>
          <w:sz w:val="20"/>
        </w:rPr>
        <w:t xml:space="preserve">99. 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w:t>
      </w:r>
    </w:p>
    <w:p>
      <w:pPr>
        <w:pStyle w:val="0"/>
        <w:spacing w:before="200" w:lineRule="auto"/>
        <w:ind w:firstLine="540"/>
        <w:jc w:val="both"/>
      </w:pPr>
      <w:r>
        <w:rPr>
          <w:sz w:val="20"/>
        </w:rPr>
        <w:t xml:space="preserve">100. В случае принятия органом регулирования решения об изменении вида тарифа (одноставочный или двухставочный) органом регулирования определяется влияние указанного изменения при прочих равных условиях регулирования на величину совокупного платежа потребителей. В случае увеличения совокупного платежа более чем на 20 процентов при прочих равных условиях регулирования органом регулирования принимается решение об установлении переходного периода на срок не более 5 лет.</w:t>
      </w:r>
    </w:p>
    <w:p>
      <w:pPr>
        <w:pStyle w:val="0"/>
        <w:spacing w:before="200" w:lineRule="auto"/>
        <w:ind w:firstLine="540"/>
        <w:jc w:val="both"/>
      </w:pPr>
      <w:r>
        <w:rPr>
          <w:sz w:val="20"/>
        </w:rPr>
        <w:t xml:space="preserve">В течение указанного переходного периода в целях постепенного приведения устанавливаемых органом регулирования тарифов к уровню распределения затрат между ставкой за объем поданной воды, принятых сточных вод и ставкой за содержание мощности, определяемому в отсутствие такого переходного периода, к ставкам за содержание мощности тарифов, рассчитанных в соответствии с настоящими Методическими указаниями в условиях отсутствия такого переходного периода, органом регулирования применяются следующие показатели прироста ставки за содержание мощности:</w:t>
      </w:r>
    </w:p>
    <w:p>
      <w:pPr>
        <w:pStyle w:val="0"/>
        <w:spacing w:before="200" w:lineRule="auto"/>
        <w:ind w:firstLine="540"/>
        <w:jc w:val="both"/>
      </w:pPr>
      <w:r>
        <w:rPr>
          <w:sz w:val="20"/>
        </w:rPr>
        <w:t xml:space="preserve">показатели прироста ставки за содержание мощности, обеспечивающие равномерное увеличение ставки за содержание мощности в течение установленного переходного периода при переходе от одноставочного тарифа на двухставочный тариф;</w:t>
      </w:r>
    </w:p>
    <w:p>
      <w:pPr>
        <w:pStyle w:val="0"/>
        <w:spacing w:before="200" w:lineRule="auto"/>
        <w:ind w:firstLine="540"/>
        <w:jc w:val="both"/>
      </w:pPr>
      <w:r>
        <w:rPr>
          <w:sz w:val="20"/>
        </w:rPr>
        <w:t xml:space="preserve">показатели прироста ставки за содержание мощности, обеспечивающие равномерное снижение ставки за содержание мощности в течение установленного переходного периода при переходе от двухставочного тарифа на одноставочный тариф.</w:t>
      </w:r>
    </w:p>
    <w:p>
      <w:pPr>
        <w:pStyle w:val="0"/>
        <w:spacing w:before="200" w:lineRule="auto"/>
        <w:ind w:firstLine="540"/>
        <w:jc w:val="both"/>
      </w:pPr>
      <w:r>
        <w:rPr>
          <w:sz w:val="20"/>
        </w:rPr>
        <w:t xml:space="preserve">В течение установленного переходного периода ставка за объем поданной воды, принятых сточных вод тарифов, рассчитанных в соответствии с </w:t>
      </w:r>
      <w:hyperlink w:history="0" w:anchor="P881" w:tooltip="VIII. Расчет одноставочных тарифов в сфере водоснабжения">
        <w:r>
          <w:rPr>
            <w:sz w:val="20"/>
            <w:color w:val="0000ff"/>
          </w:rPr>
          <w:t xml:space="preserve">главами VIII</w:t>
        </w:r>
      </w:hyperlink>
      <w:r>
        <w:rPr>
          <w:sz w:val="20"/>
        </w:rPr>
        <w:t xml:space="preserve">, </w:t>
      </w:r>
      <w:hyperlink w:history="0" w:anchor="P893" w:tooltip="VIII.I. Расчет двухставочных и многоставочных тарифов">
        <w:r>
          <w:rPr>
            <w:sz w:val="20"/>
            <w:color w:val="0000ff"/>
          </w:rPr>
          <w:t xml:space="preserve">VIII.I</w:t>
        </w:r>
      </w:hyperlink>
      <w:r>
        <w:rPr>
          <w:sz w:val="20"/>
        </w:rPr>
        <w:t xml:space="preserve">, </w:t>
      </w:r>
      <w:hyperlink w:history="0" w:anchor="P971" w:tooltip="VIII.III. Расчет тарифов на горячую воду">
        <w:r>
          <w:rPr>
            <w:sz w:val="20"/>
            <w:color w:val="0000ff"/>
          </w:rPr>
          <w:t xml:space="preserve">VIII.III</w:t>
        </w:r>
      </w:hyperlink>
      <w:r>
        <w:rPr>
          <w:sz w:val="20"/>
        </w:rPr>
        <w:t xml:space="preserve">, IX настоящих Методических указаний и настоящей главой, определяется таким образом, чтобы регулируемой организации было обеспечено получение в переходный период необходимой валовой выручки, определенной в соответствии с настоящими Методическими указаниями.</w:t>
      </w:r>
    </w:p>
    <w:p>
      <w:pPr>
        <w:pStyle w:val="0"/>
        <w:spacing w:before="200" w:lineRule="auto"/>
        <w:ind w:firstLine="540"/>
        <w:jc w:val="both"/>
      </w:pPr>
      <w:r>
        <w:rPr>
          <w:sz w:val="20"/>
        </w:rPr>
        <w:t xml:space="preserve">101. В случае установления многоставочных тарифов ставки тарифа рассчитываются исходя из объемов потребления воды абонентами по формуле:</w:t>
      </w:r>
    </w:p>
    <w:p>
      <w:pPr>
        <w:pStyle w:val="0"/>
        <w:jc w:val="both"/>
      </w:pPr>
      <w:r>
        <w:rPr>
          <w:sz w:val="20"/>
        </w:rPr>
      </w:r>
    </w:p>
    <w:p>
      <w:pPr>
        <w:pStyle w:val="0"/>
        <w:jc w:val="center"/>
      </w:pPr>
      <w:r>
        <w:rPr>
          <w:position w:val="-26"/>
        </w:rPr>
        <w:drawing>
          <wp:inline distT="0" distB="0" distL="0" distR="0">
            <wp:extent cx="1054100" cy="461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a:extLst>
                        <a:ext uri="{28A0092B-C50C-407E-A947-70E740481C1C}">
                          <a14:useLocalDpi xmlns:a14="http://schemas.microsoft.com/office/drawing/2010/main" val="0"/>
                        </a:ext>
                      </a:extLst>
                    </a:blip>
                    <a:srcRect/>
                    <a:stretch>
                      <a:fillRect/>
                    </a:stretch>
                  </pic:blipFill>
                  <pic:spPr bwMode="auto">
                    <a:xfrm>
                      <a:off x="0" y="0"/>
                      <a:ext cx="1054100" cy="461645"/>
                    </a:xfrm>
                    <a:prstGeom prst="rect">
                      <a:avLst/>
                    </a:prstGeom>
                    <a:noFill/>
                    <a:ln>
                      <a:noFill/>
                    </a:ln>
                  </pic:spPr>
                </pic:pic>
              </a:graphicData>
            </a:graphic>
          </wp:inline>
        </w:drawing>
      </w:r>
      <w:r>
        <w:rPr>
          <w:sz w:val="20"/>
        </w:rPr>
        <w:t xml:space="preserve">, (44)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921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292100" cy="253365"/>
                    </a:xfrm>
                    <a:prstGeom prst="rect">
                      <a:avLst/>
                    </a:prstGeom>
                    <a:noFill/>
                    <a:ln>
                      <a:noFill/>
                    </a:ln>
                  </pic:spPr>
                </pic:pic>
              </a:graphicData>
            </a:graphic>
          </wp:inline>
        </w:drawing>
      </w:r>
      <w:r>
        <w:rPr>
          <w:sz w:val="20"/>
        </w:rPr>
        <w:t xml:space="preserve"> - ставка тарифа на питьевую воду на i-ый год в рамках j-го объема потребления, руб./куб. м;</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необходимая валовая выручка на i-ый год, руб. куб./м;</w:t>
      </w:r>
    </w:p>
    <w:p>
      <w:pPr>
        <w:pStyle w:val="0"/>
        <w:spacing w:before="200" w:lineRule="auto"/>
        <w:ind w:firstLine="540"/>
        <w:jc w:val="both"/>
      </w:pPr>
      <w:r>
        <w:rPr>
          <w:position w:val="-9"/>
        </w:rPr>
        <w:drawing>
          <wp:inline distT="0" distB="0" distL="0" distR="0">
            <wp:extent cx="18415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a:extLst>
                        <a:ext uri="{28A0092B-C50C-407E-A947-70E740481C1C}">
                          <a14:useLocalDpi xmlns:a14="http://schemas.microsoft.com/office/drawing/2010/main" val="0"/>
                        </a:ext>
                      </a:extLst>
                    </a:blip>
                    <a:srcRect/>
                    <a:stretch>
                      <a:fillRect/>
                    </a:stretch>
                  </pic:blipFill>
                  <pic:spPr bwMode="auto">
                    <a:xfrm>
                      <a:off x="0" y="0"/>
                      <a:ext cx="184150" cy="253365"/>
                    </a:xfrm>
                    <a:prstGeom prst="rect">
                      <a:avLst/>
                    </a:prstGeom>
                    <a:noFill/>
                    <a:ln>
                      <a:noFill/>
                    </a:ln>
                  </pic:spPr>
                </pic:pic>
              </a:graphicData>
            </a:graphic>
          </wp:inline>
        </w:drawing>
      </w:r>
      <w:r>
        <w:rPr>
          <w:sz w:val="20"/>
        </w:rPr>
        <w:t xml:space="preserve"> - коэффициент, определяющий долю необходимой валовой выручки, относимой на j-й объем потребления на i-ый год;</w:t>
      </w:r>
    </w:p>
    <w:p>
      <w:pPr>
        <w:pStyle w:val="0"/>
        <w:spacing w:before="200" w:lineRule="auto"/>
        <w:ind w:firstLine="540"/>
        <w:jc w:val="both"/>
      </w:pPr>
      <w:r>
        <w:rPr>
          <w:position w:val="-9"/>
        </w:rPr>
        <w:drawing>
          <wp:inline distT="0" distB="0" distL="0" distR="0">
            <wp:extent cx="19685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196850" cy="253365"/>
                    </a:xfrm>
                    <a:prstGeom prst="rect">
                      <a:avLst/>
                    </a:prstGeom>
                    <a:noFill/>
                    <a:ln>
                      <a:noFill/>
                    </a:ln>
                  </pic:spPr>
                </pic:pic>
              </a:graphicData>
            </a:graphic>
          </wp:inline>
        </w:drawing>
      </w:r>
      <w:r>
        <w:rPr>
          <w:sz w:val="20"/>
        </w:rPr>
        <w:t xml:space="preserve"> - j-й объем потребления воды абонентами, определяемый органом регулирования тарифов на i-ый год, куб. м.</w:t>
      </w:r>
    </w:p>
    <w:p>
      <w:pPr>
        <w:pStyle w:val="0"/>
        <w:jc w:val="both"/>
      </w:pPr>
      <w:r>
        <w:rPr>
          <w:sz w:val="20"/>
        </w:rPr>
      </w:r>
    </w:p>
    <w:p>
      <w:pPr>
        <w:pStyle w:val="2"/>
        <w:outlineLvl w:val="2"/>
        <w:jc w:val="center"/>
      </w:pPr>
      <w:r>
        <w:rPr>
          <w:sz w:val="20"/>
        </w:rPr>
        <w:t xml:space="preserve">VIII.II. Дифференциация тарифов</w:t>
      </w:r>
    </w:p>
    <w:p>
      <w:pPr>
        <w:pStyle w:val="0"/>
        <w:jc w:val="both"/>
      </w:pPr>
      <w:r>
        <w:rPr>
          <w:sz w:val="20"/>
        </w:rPr>
      </w:r>
    </w:p>
    <w:p>
      <w:pPr>
        <w:pStyle w:val="0"/>
        <w:ind w:firstLine="540"/>
        <w:jc w:val="both"/>
      </w:pPr>
      <w:r>
        <w:rPr>
          <w:sz w:val="20"/>
        </w:rPr>
        <w:t xml:space="preserve">102. Тарифы в сфере горячего водоснабжения, холодного водоснабжения могут устанавливаться дифференцированно с учетом следующих параметров:</w:t>
      </w:r>
    </w:p>
    <w:p>
      <w:pPr>
        <w:pStyle w:val="0"/>
        <w:spacing w:before="200" w:lineRule="auto"/>
        <w:ind w:firstLine="540"/>
        <w:jc w:val="both"/>
      </w:pPr>
      <w:r>
        <w:rPr>
          <w:sz w:val="20"/>
        </w:rPr>
        <w:t xml:space="preserve">а) наличие нескольких технологически не связанных между собой централизованных систем холодного (горячего) водоснабжения;</w:t>
      </w:r>
    </w:p>
    <w:p>
      <w:pPr>
        <w:pStyle w:val="0"/>
        <w:spacing w:before="200" w:lineRule="auto"/>
        <w:ind w:firstLine="540"/>
        <w:jc w:val="both"/>
      </w:pPr>
      <w:r>
        <w:rPr>
          <w:sz w:val="20"/>
        </w:rPr>
        <w:t xml:space="preserve">б) объемы потребления воды абонентами;</w:t>
      </w:r>
    </w:p>
    <w:p>
      <w:pPr>
        <w:pStyle w:val="0"/>
        <w:spacing w:before="200" w:lineRule="auto"/>
        <w:ind w:firstLine="540"/>
        <w:jc w:val="both"/>
      </w:pPr>
      <w:r>
        <w:rPr>
          <w:sz w:val="20"/>
        </w:rPr>
        <w:t xml:space="preserve">в) соответствие качества питьевой воды и горячей воды требованиям, установленным санитарными нормами и правилами.</w:t>
      </w:r>
    </w:p>
    <w:p>
      <w:pPr>
        <w:pStyle w:val="0"/>
        <w:spacing w:before="200" w:lineRule="auto"/>
        <w:ind w:firstLine="540"/>
        <w:jc w:val="both"/>
      </w:pPr>
      <w:r>
        <w:rPr>
          <w:sz w:val="20"/>
        </w:rPr>
        <w:t xml:space="preserve">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pPr>
        <w:pStyle w:val="0"/>
        <w:spacing w:before="200" w:lineRule="auto"/>
        <w:ind w:firstLine="540"/>
        <w:jc w:val="both"/>
      </w:pPr>
      <w:r>
        <w:rPr>
          <w:sz w:val="20"/>
        </w:rPr>
        <w:t xml:space="preserve">103. В случае принятия решения о дифференциации тарифов по технологически не связанным между собой централизованным системам холодного (горячего) водоснабжения орган регулирования принимает решение об установлении тарифа (одноставочного или двухставочного) отдельно в каждой централизованной системе холодного (горячего) водоснабжения исходя из расходов на осуществление регулируемых видов деятельности в каждой централизованной системе холодного (горячего) водоснабжения.</w:t>
      </w:r>
    </w:p>
    <w:p>
      <w:pPr>
        <w:pStyle w:val="0"/>
        <w:spacing w:before="200" w:lineRule="auto"/>
        <w:ind w:firstLine="540"/>
        <w:jc w:val="both"/>
      </w:pPr>
      <w:r>
        <w:rPr>
          <w:sz w:val="20"/>
        </w:rPr>
        <w:t xml:space="preserve">104. В случае принятия решения о дифференциации тарифов по объемам потребления воды и отведения сточных вод абонентами орган регулирования тарифов определяет объем потребления воды и отведения сточных вод абонентами, в отношении которого рассчитываются коэффициенты, определяющие долю необходимой валовой выручки, относимой на j-й объем потребления воды и отведения сточных вод абонентами на i-ый год и осуществляет расчет тарифов по формуле:</w:t>
      </w:r>
    </w:p>
    <w:p>
      <w:pPr>
        <w:pStyle w:val="0"/>
        <w:jc w:val="both"/>
      </w:pPr>
      <w:r>
        <w:rPr>
          <w:sz w:val="20"/>
        </w:rPr>
      </w:r>
    </w:p>
    <w:p>
      <w:pPr>
        <w:pStyle w:val="0"/>
        <w:jc w:val="center"/>
      </w:pPr>
      <w:r>
        <w:rPr>
          <w:position w:val="-26"/>
        </w:rPr>
        <w:drawing>
          <wp:inline distT="0" distB="0" distL="0" distR="0">
            <wp:extent cx="952500" cy="461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a:extLst>
                        <a:ext uri="{28A0092B-C50C-407E-A947-70E740481C1C}">
                          <a14:useLocalDpi xmlns:a14="http://schemas.microsoft.com/office/drawing/2010/main" val="0"/>
                        </a:ext>
                      </a:extLst>
                    </a:blip>
                    <a:srcRect/>
                    <a:stretch>
                      <a:fillRect/>
                    </a:stretch>
                  </pic:blipFill>
                  <pic:spPr bwMode="auto">
                    <a:xfrm>
                      <a:off x="0" y="0"/>
                      <a:ext cx="952500" cy="461645"/>
                    </a:xfrm>
                    <a:prstGeom prst="rect">
                      <a:avLst/>
                    </a:prstGeom>
                    <a:noFill/>
                    <a:ln>
                      <a:noFill/>
                    </a:ln>
                  </pic:spPr>
                </pic:pic>
              </a:graphicData>
            </a:graphic>
          </wp:inline>
        </w:drawing>
      </w:r>
      <w:r>
        <w:rPr>
          <w:sz w:val="20"/>
        </w:rPr>
        <w:t xml:space="preserve">, (45)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1905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90500" cy="253365"/>
                    </a:xfrm>
                    <a:prstGeom prst="rect">
                      <a:avLst/>
                    </a:prstGeom>
                    <a:noFill/>
                    <a:ln>
                      <a:noFill/>
                    </a:ln>
                  </pic:spPr>
                </pic:pic>
              </a:graphicData>
            </a:graphic>
          </wp:inline>
        </w:drawing>
      </w:r>
      <w:r>
        <w:rPr>
          <w:sz w:val="20"/>
        </w:rPr>
        <w:t xml:space="preserve"> - тариф, устанавливаемый на i-тый год для j-того объема потребления воды и отведения сточных вод, руб./куб. м.</w:t>
      </w:r>
    </w:p>
    <w:p>
      <w:pPr>
        <w:pStyle w:val="0"/>
        <w:spacing w:before="200" w:lineRule="auto"/>
        <w:ind w:firstLine="540"/>
        <w:jc w:val="both"/>
      </w:pPr>
      <w:r>
        <w:rPr>
          <w:sz w:val="20"/>
        </w:rPr>
        <w:t xml:space="preserve">105. В случае установления тарифов на питьевую воду (питьевое водоснабжение) или на горячую воду дифференцированно в зависимости от соответствия качества питьевой воды, горячей воды требованиям, установленным санитарными нормами и правилами, органы регулирования тарифов применяют при расчете объемов воды, потребляемой разными категориями, фактические данные за предыдущий период регулирования.</w:t>
      </w:r>
    </w:p>
    <w:p>
      <w:pPr>
        <w:pStyle w:val="0"/>
        <w:spacing w:before="200" w:lineRule="auto"/>
        <w:ind w:firstLine="540"/>
        <w:jc w:val="both"/>
      </w:pPr>
      <w:r>
        <w:rPr>
          <w:sz w:val="20"/>
        </w:rPr>
        <w:t xml:space="preserve">В период реализации планов мероприятий по приведению качества питьевой воды, горячей воды в соответствие с нормативными требованиями дифференциация тарифов по качеству воды не применяется.</w:t>
      </w:r>
    </w:p>
    <w:p>
      <w:pPr>
        <w:pStyle w:val="0"/>
        <w:spacing w:before="200" w:lineRule="auto"/>
        <w:ind w:firstLine="540"/>
        <w:jc w:val="both"/>
      </w:pPr>
      <w:r>
        <w:rPr>
          <w:sz w:val="20"/>
        </w:rPr>
        <w:t xml:space="preserve">106. Тарифы в сфере водоотведения по решению органа регулирования могут устанавливаться дифференцированно с учетом следующих параметров:</w:t>
      </w:r>
    </w:p>
    <w:p>
      <w:pPr>
        <w:pStyle w:val="0"/>
        <w:spacing w:before="200" w:lineRule="auto"/>
        <w:ind w:firstLine="540"/>
        <w:jc w:val="both"/>
      </w:pPr>
      <w:r>
        <w:rPr>
          <w:sz w:val="20"/>
        </w:rPr>
        <w:t xml:space="preserve">а) наличие нескольких технологически не связанных между собой централизованных систем водоотведения;</w:t>
      </w:r>
    </w:p>
    <w:p>
      <w:pPr>
        <w:pStyle w:val="0"/>
        <w:spacing w:before="200" w:lineRule="auto"/>
        <w:ind w:firstLine="540"/>
        <w:jc w:val="both"/>
      </w:pPr>
      <w:r>
        <w:rPr>
          <w:sz w:val="20"/>
        </w:rPr>
        <w:t xml:space="preserve">б) категории сточных вод:</w:t>
      </w:r>
    </w:p>
    <w:p>
      <w:pPr>
        <w:pStyle w:val="0"/>
        <w:spacing w:before="200" w:lineRule="auto"/>
        <w:ind w:firstLine="540"/>
        <w:jc w:val="both"/>
      </w:pPr>
      <w:r>
        <w:rPr>
          <w:sz w:val="20"/>
        </w:rPr>
        <w:t xml:space="preserve">жидкие бытовые отходы;</w:t>
      </w:r>
    </w:p>
    <w:p>
      <w:pPr>
        <w:pStyle w:val="0"/>
        <w:spacing w:before="200" w:lineRule="auto"/>
        <w:ind w:firstLine="540"/>
        <w:jc w:val="both"/>
      </w:pPr>
      <w:r>
        <w:rPr>
          <w:sz w:val="20"/>
        </w:rPr>
        <w:t xml:space="preserve">поверхностные сточные воды;</w:t>
      </w:r>
    </w:p>
    <w:p>
      <w:pPr>
        <w:pStyle w:val="0"/>
        <w:spacing w:before="200" w:lineRule="auto"/>
        <w:ind w:firstLine="540"/>
        <w:jc w:val="both"/>
      </w:pPr>
      <w:r>
        <w:rPr>
          <w:sz w:val="20"/>
        </w:rPr>
        <w:t xml:space="preserve">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pPr>
        <w:pStyle w:val="0"/>
        <w:spacing w:before="200" w:lineRule="auto"/>
        <w:ind w:firstLine="540"/>
        <w:jc w:val="both"/>
      </w:pPr>
      <w:r>
        <w:rPr>
          <w:sz w:val="20"/>
        </w:rPr>
        <w:t xml:space="preserve">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pPr>
        <w:pStyle w:val="0"/>
        <w:spacing w:before="200" w:lineRule="auto"/>
        <w:ind w:firstLine="540"/>
        <w:jc w:val="both"/>
      </w:pPr>
      <w:r>
        <w:rPr>
          <w:sz w:val="20"/>
        </w:rPr>
        <w:t xml:space="preserve">сточные воды, отводимые иными абонентами;</w:t>
      </w:r>
    </w:p>
    <w:p>
      <w:pPr>
        <w:pStyle w:val="0"/>
        <w:spacing w:before="200" w:lineRule="auto"/>
        <w:ind w:firstLine="540"/>
        <w:jc w:val="both"/>
      </w:pPr>
      <w:r>
        <w:rPr>
          <w:sz w:val="20"/>
        </w:rPr>
        <w:t xml:space="preserve">в) объема отводимых сточных вод.</w:t>
      </w:r>
    </w:p>
    <w:p>
      <w:pPr>
        <w:pStyle w:val="0"/>
        <w:spacing w:before="200" w:lineRule="auto"/>
        <w:ind w:firstLine="540"/>
        <w:jc w:val="both"/>
      </w:pPr>
      <w:r>
        <w:rPr>
          <w:sz w:val="20"/>
        </w:rPr>
        <w:t xml:space="preserve">Дифференциация по объему сточных вод может производиться в том числе по объему сточных вод, отводимого в пределах норматива водоотведения по объему сточных вод и сверх такого норматива.</w:t>
      </w:r>
    </w:p>
    <w:p>
      <w:pPr>
        <w:pStyle w:val="0"/>
        <w:spacing w:before="200" w:lineRule="auto"/>
        <w:ind w:firstLine="540"/>
        <w:jc w:val="both"/>
      </w:pPr>
      <w:r>
        <w:rPr>
          <w:sz w:val="20"/>
        </w:rPr>
        <w:t xml:space="preserve">107. В случае принятия решения о дифференциации тарифов по технологически не связанным между собой централизованным системам водоотведения орган регулирования принимает решение об установлении тарифа (одноставочного или двухставочного) отдельно в каждой централизованной системе водоотведения, исходя из расходов на осуществление регулируемого вида деятельности в каждой централизованной системе водоотведения.</w:t>
      </w:r>
    </w:p>
    <w:p>
      <w:pPr>
        <w:pStyle w:val="0"/>
        <w:spacing w:before="200" w:lineRule="auto"/>
        <w:ind w:firstLine="540"/>
        <w:jc w:val="both"/>
      </w:pPr>
      <w:r>
        <w:rPr>
          <w:sz w:val="20"/>
        </w:rPr>
        <w:t xml:space="preserve">108. При дифференциации тарифов по категориям сточных вод орган регулирования рассчитывает коэффициенты, определяющие величину отклонения тарифов от среднего уровня, и осуществляет расчет тарифов по формуле:</w:t>
      </w:r>
    </w:p>
    <w:p>
      <w:pPr>
        <w:pStyle w:val="0"/>
        <w:jc w:val="both"/>
      </w:pPr>
      <w:r>
        <w:rPr>
          <w:sz w:val="20"/>
        </w:rPr>
      </w:r>
    </w:p>
    <w:p>
      <w:pPr>
        <w:pStyle w:val="0"/>
        <w:jc w:val="center"/>
      </w:pPr>
      <w:r>
        <w:rPr>
          <w:position w:val="-25"/>
        </w:rPr>
        <w:drawing>
          <wp:inline distT="0" distB="0" distL="0" distR="0">
            <wp:extent cx="1143000" cy="452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1143000" cy="452120"/>
                    </a:xfrm>
                    <a:prstGeom prst="rect">
                      <a:avLst/>
                    </a:prstGeom>
                    <a:noFill/>
                    <a:ln>
                      <a:noFill/>
                    </a:ln>
                  </pic:spPr>
                </pic:pic>
              </a:graphicData>
            </a:graphic>
          </wp:inline>
        </w:drawing>
      </w:r>
      <w:r>
        <w:rPr>
          <w:sz w:val="20"/>
        </w:rPr>
        <w:t xml:space="preserve">, (46)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18415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a:extLst>
                        <a:ext uri="{28A0092B-C50C-407E-A947-70E740481C1C}">
                          <a14:useLocalDpi xmlns:a14="http://schemas.microsoft.com/office/drawing/2010/main" val="0"/>
                        </a:ext>
                      </a:extLst>
                    </a:blip>
                    <a:srcRect/>
                    <a:stretch>
                      <a:fillRect/>
                    </a:stretch>
                  </pic:blipFill>
                  <pic:spPr bwMode="auto">
                    <a:xfrm>
                      <a:off x="0" y="0"/>
                      <a:ext cx="184150" cy="253365"/>
                    </a:xfrm>
                    <a:prstGeom prst="rect">
                      <a:avLst/>
                    </a:prstGeom>
                    <a:noFill/>
                    <a:ln>
                      <a:noFill/>
                    </a:ln>
                  </pic:spPr>
                </pic:pic>
              </a:graphicData>
            </a:graphic>
          </wp:inline>
        </w:drawing>
      </w:r>
      <w:r>
        <w:rPr>
          <w:sz w:val="20"/>
        </w:rPr>
        <w:t xml:space="preserve"> - тариф, устанавливаемый на i-тый год для j-той категории сточных вод, руб./куб. м;</w:t>
      </w:r>
    </w:p>
    <w:p>
      <w:pPr>
        <w:pStyle w:val="0"/>
        <w:spacing w:before="200" w:lineRule="auto"/>
        <w:ind w:firstLine="540"/>
        <w:jc w:val="both"/>
      </w:pPr>
      <w:r>
        <w:rPr>
          <w:position w:val="-5"/>
        </w:rPr>
        <w:drawing>
          <wp:inline distT="0" distB="0" distL="0" distR="0">
            <wp:extent cx="1651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a:extLst>
                        <a:ext uri="{28A0092B-C50C-407E-A947-70E740481C1C}">
                          <a14:useLocalDpi xmlns:a14="http://schemas.microsoft.com/office/drawing/2010/main" val="0"/>
                        </a:ext>
                      </a:extLst>
                    </a:blip>
                    <a:srcRect/>
                    <a:stretch>
                      <a:fillRect/>
                    </a:stretch>
                  </pic:blipFill>
                  <pic:spPr bwMode="auto">
                    <a:xfrm>
                      <a:off x="0" y="0"/>
                      <a:ext cx="165100" cy="190500"/>
                    </a:xfrm>
                    <a:prstGeom prst="rect">
                      <a:avLst/>
                    </a:prstGeom>
                    <a:noFill/>
                    <a:ln>
                      <a:noFill/>
                    </a:ln>
                  </pic:spPr>
                </pic:pic>
              </a:graphicData>
            </a:graphic>
          </wp:inline>
        </w:drawing>
      </w:r>
      <w:r>
        <w:rPr>
          <w:sz w:val="20"/>
        </w:rPr>
        <w:t xml:space="preserve"> - коэффициенты, определяющие величину отклонения тарифов от среднего уровня для j-той категории сточных вод;</w:t>
      </w:r>
    </w:p>
    <w:p>
      <w:pPr>
        <w:pStyle w:val="0"/>
        <w:spacing w:before="200" w:lineRule="auto"/>
        <w:ind w:firstLine="540"/>
        <w:jc w:val="both"/>
      </w:pPr>
      <w:r>
        <w:rPr>
          <w:position w:val="-9"/>
        </w:rPr>
        <w:drawing>
          <wp:inline distT="0" distB="0" distL="0" distR="0">
            <wp:extent cx="1905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190500" cy="253365"/>
                    </a:xfrm>
                    <a:prstGeom prst="rect">
                      <a:avLst/>
                    </a:prstGeom>
                    <a:noFill/>
                    <a:ln>
                      <a:noFill/>
                    </a:ln>
                  </pic:spPr>
                </pic:pic>
              </a:graphicData>
            </a:graphic>
          </wp:inline>
        </w:drawing>
      </w:r>
      <w:r>
        <w:rPr>
          <w:sz w:val="20"/>
        </w:rPr>
        <w:t xml:space="preserve"> - объем воды, устанавливаемый на i-тый год для j-той категории сточных вод, определяемый на основе фактических данных (за исключением случаев, установленных настоящим документом), тыс. куб. м.</w:t>
      </w:r>
    </w:p>
    <w:p>
      <w:pPr>
        <w:pStyle w:val="0"/>
        <w:jc w:val="both"/>
      </w:pPr>
      <w:r>
        <w:rPr>
          <w:sz w:val="20"/>
        </w:rPr>
      </w:r>
    </w:p>
    <w:p>
      <w:pPr>
        <w:pStyle w:val="0"/>
        <w:jc w:val="center"/>
      </w:pPr>
      <w:r>
        <w:rPr>
          <w:position w:val="-23"/>
        </w:rPr>
        <w:drawing>
          <wp:inline distT="0" distB="0" distL="0" distR="0">
            <wp:extent cx="6477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Pr>
          <w:sz w:val="20"/>
        </w:rPr>
        <w:t xml:space="preserve">, (46.1)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5"/>
        </w:rPr>
        <w:drawing>
          <wp:inline distT="0" distB="0" distL="0" distR="0">
            <wp:extent cx="1651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a:extLst>
                        <a:ext uri="{28A0092B-C50C-407E-A947-70E740481C1C}">
                          <a14:useLocalDpi xmlns:a14="http://schemas.microsoft.com/office/drawing/2010/main" val="0"/>
                        </a:ext>
                      </a:extLst>
                    </a:blip>
                    <a:srcRect/>
                    <a:stretch>
                      <a:fillRect/>
                    </a:stretch>
                  </pic:blipFill>
                  <pic:spPr bwMode="auto">
                    <a:xfrm>
                      <a:off x="0" y="0"/>
                      <a:ext cx="165100" cy="190500"/>
                    </a:xfrm>
                    <a:prstGeom prst="rect">
                      <a:avLst/>
                    </a:prstGeom>
                    <a:noFill/>
                    <a:ln>
                      <a:noFill/>
                    </a:ln>
                  </pic:spPr>
                </pic:pic>
              </a:graphicData>
            </a:graphic>
          </wp:inline>
        </w:drawing>
      </w:r>
      <w:r>
        <w:rPr>
          <w:sz w:val="20"/>
        </w:rPr>
        <w:t xml:space="preserve"> - коэффициент отклонения тарифов от среднего уровня;</w:t>
      </w:r>
    </w:p>
    <w:p>
      <w:pPr>
        <w:pStyle w:val="0"/>
        <w:spacing w:before="200" w:lineRule="auto"/>
        <w:ind w:firstLine="540"/>
        <w:jc w:val="both"/>
      </w:pPr>
      <w:r>
        <w:rPr>
          <w:sz w:val="20"/>
        </w:rPr>
        <w:t xml:space="preserve">ЗСВ - среднее за год значение показателя, характеризующего загрязненность сточных вод, определенное органом регулирования с учетом данных регулируемых организаций в отношении всех категорий сточных вод, поступающих в централизованную систему водоотведения, мг/л;</w:t>
      </w:r>
    </w:p>
    <w:p>
      <w:pPr>
        <w:pStyle w:val="0"/>
        <w:spacing w:before="200" w:lineRule="auto"/>
        <w:ind w:firstLine="540"/>
        <w:jc w:val="both"/>
      </w:pPr>
      <w:r>
        <w:rPr>
          <w:position w:val="-5"/>
        </w:rPr>
        <w:drawing>
          <wp:inline distT="0" distB="0" distL="0" distR="0">
            <wp:extent cx="369570" cy="196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369570" cy="196850"/>
                    </a:xfrm>
                    <a:prstGeom prst="rect">
                      <a:avLst/>
                    </a:prstGeom>
                    <a:noFill/>
                    <a:ln>
                      <a:noFill/>
                    </a:ln>
                  </pic:spPr>
                </pic:pic>
              </a:graphicData>
            </a:graphic>
          </wp:inline>
        </w:drawing>
      </w:r>
      <w:r>
        <w:rPr>
          <w:sz w:val="20"/>
        </w:rPr>
        <w:t xml:space="preserve"> - среднее за год значение показателя, характеризующего загрязненность сточных вод, определенное органом регулирования с учетом данных регулируемых организаций в отношении j-той категории сточных вод, мг/л.</w:t>
      </w:r>
    </w:p>
    <w:p>
      <w:pPr>
        <w:pStyle w:val="0"/>
        <w:spacing w:before="200" w:lineRule="auto"/>
        <w:ind w:firstLine="540"/>
        <w:jc w:val="both"/>
      </w:pPr>
      <w:r>
        <w:rPr>
          <w:sz w:val="20"/>
        </w:rPr>
        <w:t xml:space="preserve">В качестве показателя, характеризующего загрязненность сточных вод, может быть использован показатель концентрации взвешенных веществ, биологического или химического потребления кислорода, другие показатели.</w:t>
      </w:r>
    </w:p>
    <w:p>
      <w:pPr>
        <w:pStyle w:val="0"/>
        <w:spacing w:before="200" w:lineRule="auto"/>
        <w:ind w:firstLine="540"/>
        <w:jc w:val="both"/>
      </w:pPr>
      <w:r>
        <w:rPr>
          <w:sz w:val="20"/>
        </w:rPr>
        <w:t xml:space="preserve">Органы регулирования тарифов вправе осуществлять дифференциацию тарифов по категориям сточных исходя из сопоставления расходов на содержание ливневых, общесплавных и хозяйственно-бытовых систем водоотведения.</w:t>
      </w:r>
    </w:p>
    <w:p>
      <w:pPr>
        <w:pStyle w:val="0"/>
        <w:jc w:val="both"/>
      </w:pPr>
      <w:r>
        <w:rPr>
          <w:sz w:val="20"/>
        </w:rPr>
      </w:r>
    </w:p>
    <w:bookmarkStart w:id="971" w:name="P971"/>
    <w:bookmarkEnd w:id="971"/>
    <w:p>
      <w:pPr>
        <w:pStyle w:val="2"/>
        <w:outlineLvl w:val="2"/>
        <w:jc w:val="center"/>
      </w:pPr>
      <w:r>
        <w:rPr>
          <w:sz w:val="20"/>
        </w:rPr>
        <w:t xml:space="preserve">VIII.III. Расчет тарифов на горячую воду</w:t>
      </w:r>
    </w:p>
    <w:p>
      <w:pPr>
        <w:pStyle w:val="0"/>
        <w:jc w:val="both"/>
      </w:pPr>
      <w:r>
        <w:rPr>
          <w:sz w:val="20"/>
        </w:rPr>
      </w:r>
    </w:p>
    <w:p>
      <w:pPr>
        <w:pStyle w:val="0"/>
        <w:ind w:firstLine="540"/>
        <w:jc w:val="both"/>
      </w:pPr>
      <w:r>
        <w:rPr>
          <w:sz w:val="20"/>
        </w:rPr>
        <w:t xml:space="preserve">109. Органы регулирования тарифов устанавливают однокомпонентный или двухкомпонентный тариф на горячую воду в закрытой системе горячего водоснабжения. Двухкомпонентный тариф состоит из компонента на холодную воду и компонента на тепловую энергию.</w:t>
      </w:r>
    </w:p>
    <w:p>
      <w:pPr>
        <w:pStyle w:val="0"/>
        <w:jc w:val="both"/>
      </w:pPr>
      <w:r>
        <w:rPr>
          <w:sz w:val="20"/>
        </w:rPr>
        <w:t xml:space="preserve">(п. 109 в ред. </w:t>
      </w:r>
      <w:hyperlink w:history="0" r:id="rId429"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Приказа</w:t>
        </w:r>
      </w:hyperlink>
      <w:r>
        <w:rPr>
          <w:sz w:val="20"/>
        </w:rPr>
        <w:t xml:space="preserve"> ФАС России от 08.10.2020 N 976/20)</w:t>
      </w:r>
    </w:p>
    <w:p>
      <w:pPr>
        <w:pStyle w:val="0"/>
        <w:spacing w:before="200" w:lineRule="auto"/>
        <w:ind w:firstLine="540"/>
        <w:jc w:val="both"/>
      </w:pPr>
      <w:r>
        <w:rPr>
          <w:sz w:val="20"/>
        </w:rPr>
        <w:t xml:space="preserve">109(1).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определяемого в соответствии с </w:t>
      </w:r>
      <w:hyperlink w:history="0" w:anchor="P978" w:tooltip="111. Значение компонента на холодную воду рассчитывается исходя из тарифа (тарифов) на питьевую воду (питьевое водоснабжение) по формуле:">
        <w:r>
          <w:rPr>
            <w:sz w:val="20"/>
            <w:color w:val="0000ff"/>
          </w:rPr>
          <w:t xml:space="preserve">пунктами 111</w:t>
        </w:r>
      </w:hyperlink>
      <w:r>
        <w:rPr>
          <w:sz w:val="20"/>
        </w:rPr>
        <w:t xml:space="preserve"> - </w:t>
      </w:r>
      <w:hyperlink w:history="0" w:anchor="P985" w:tooltip="112. 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разделом IV настоящих Методических указаний, но не выше тарифа гарантирующей организации на питьевую воду (питьевое водоснабжение).">
        <w:r>
          <w:rPr>
            <w:sz w:val="20"/>
            <w:color w:val="0000ff"/>
          </w:rPr>
          <w:t xml:space="preserve">112</w:t>
        </w:r>
      </w:hyperlink>
      <w:r>
        <w:rPr>
          <w:sz w:val="20"/>
        </w:rPr>
        <w:t xml:space="preserve"> настоящих Методических указаний, и компонента на тепловую энергию, определяемого в соответствии с </w:t>
      </w:r>
      <w:hyperlink w:history="0" w:anchor="P1017" w:tooltip="113(1). Значение компонента на тепловую энергию после окончания переходного периода в ценовых зонах теплоснабжения определяется по формуле:">
        <w:r>
          <w:rPr>
            <w:sz w:val="20"/>
            <w:color w:val="0000ff"/>
          </w:rPr>
          <w:t xml:space="preserve">пунктом 113(1)</w:t>
        </w:r>
      </w:hyperlink>
      <w:r>
        <w:rPr>
          <w:sz w:val="20"/>
        </w:rPr>
        <w:t xml:space="preserve"> настоящих Методических указаний.</w:t>
      </w:r>
    </w:p>
    <w:p>
      <w:pPr>
        <w:pStyle w:val="0"/>
        <w:jc w:val="both"/>
      </w:pPr>
      <w:r>
        <w:rPr>
          <w:sz w:val="20"/>
        </w:rPr>
        <w:t xml:space="preserve">(п. 109(1) введен </w:t>
      </w:r>
      <w:hyperlink w:history="0" r:id="rId430"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Приказом</w:t>
        </w:r>
      </w:hyperlink>
      <w:r>
        <w:rPr>
          <w:sz w:val="20"/>
        </w:rPr>
        <w:t xml:space="preserve"> ФАС России от 29.10.2019 N 1438/19)</w:t>
      </w:r>
    </w:p>
    <w:p>
      <w:pPr>
        <w:pStyle w:val="0"/>
        <w:spacing w:before="200" w:lineRule="auto"/>
        <w:ind w:firstLine="540"/>
        <w:jc w:val="both"/>
      </w:pPr>
      <w:r>
        <w:rPr>
          <w:sz w:val="20"/>
        </w:rPr>
        <w:t xml:space="preserve">110.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 в зависимости от вида регулируемого тарифа (одноставочный или двухставочный), установленного в сфере водоснабжения.</w:t>
      </w:r>
    </w:p>
    <w:bookmarkStart w:id="978" w:name="P978"/>
    <w:bookmarkEnd w:id="978"/>
    <w:p>
      <w:pPr>
        <w:pStyle w:val="0"/>
        <w:spacing w:before="200" w:lineRule="auto"/>
        <w:ind w:firstLine="540"/>
        <w:jc w:val="both"/>
      </w:pPr>
      <w:r>
        <w:rPr>
          <w:sz w:val="20"/>
        </w:rPr>
        <w:t xml:space="preserve">111. Значение компонента на холодную воду рассчитывается исходя из тарифа (тарифов) на питьевую воду (питьевое водоснабжение) по формуле:</w:t>
      </w:r>
    </w:p>
    <w:p>
      <w:pPr>
        <w:pStyle w:val="0"/>
        <w:jc w:val="both"/>
      </w:pPr>
      <w:r>
        <w:rPr>
          <w:sz w:val="20"/>
        </w:rPr>
      </w:r>
    </w:p>
    <w:p>
      <w:pPr>
        <w:pStyle w:val="0"/>
        <w:jc w:val="center"/>
      </w:pPr>
      <w:r>
        <w:rPr>
          <w:position w:val="-9"/>
        </w:rPr>
        <w:drawing>
          <wp:inline distT="0" distB="0" distL="0" distR="0">
            <wp:extent cx="57848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578485" cy="253365"/>
                    </a:xfrm>
                    <a:prstGeom prst="rect">
                      <a:avLst/>
                    </a:prstGeom>
                    <a:noFill/>
                    <a:ln>
                      <a:noFill/>
                    </a:ln>
                  </pic:spPr>
                </pic:pic>
              </a:graphicData>
            </a:graphic>
          </wp:inline>
        </w:drawing>
      </w:r>
      <w:r>
        <w:rPr>
          <w:sz w:val="20"/>
        </w:rPr>
        <w:t xml:space="preserve">, (47)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540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a:extLst>
                        <a:ext uri="{28A0092B-C50C-407E-A947-70E740481C1C}">
                          <a14:useLocalDpi xmlns:a14="http://schemas.microsoft.com/office/drawing/2010/main" val="0"/>
                        </a:ext>
                      </a:extLst>
                    </a:blip>
                    <a:srcRect/>
                    <a:stretch>
                      <a:fillRect/>
                    </a:stretch>
                  </pic:blipFill>
                  <pic:spPr bwMode="auto">
                    <a:xfrm>
                      <a:off x="0" y="0"/>
                      <a:ext cx="254000" cy="253365"/>
                    </a:xfrm>
                    <a:prstGeom prst="rect">
                      <a:avLst/>
                    </a:prstGeom>
                    <a:noFill/>
                    <a:ln>
                      <a:noFill/>
                    </a:ln>
                  </pic:spPr>
                </pic:pic>
              </a:graphicData>
            </a:graphic>
          </wp:inline>
        </w:drawing>
      </w:r>
      <w:r>
        <w:rPr>
          <w:sz w:val="20"/>
        </w:rPr>
        <w:t xml:space="preserve"> - компонент на холодную воду i-той регулируемой организации, руб./куб. м;</w:t>
      </w:r>
    </w:p>
    <w:p>
      <w:pPr>
        <w:pStyle w:val="0"/>
        <w:spacing w:before="200" w:lineRule="auto"/>
        <w:ind w:firstLine="540"/>
        <w:jc w:val="both"/>
      </w:pPr>
      <w:r>
        <w:rPr>
          <w:position w:val="-9"/>
        </w:rPr>
        <w:drawing>
          <wp:inline distT="0" distB="0" distL="0" distR="0">
            <wp:extent cx="25336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a:extLst>
                        <a:ext uri="{28A0092B-C50C-407E-A947-70E740481C1C}">
                          <a14:useLocalDpi xmlns:a14="http://schemas.microsoft.com/office/drawing/2010/main" val="0"/>
                        </a:ext>
                      </a:extLst>
                    </a:blip>
                    <a:srcRect/>
                    <a:stretch>
                      <a:fillRect/>
                    </a:stretch>
                  </pic:blipFill>
                  <pic:spPr bwMode="auto">
                    <a:xfrm>
                      <a:off x="0" y="0"/>
                      <a:ext cx="253365" cy="253365"/>
                    </a:xfrm>
                    <a:prstGeom prst="rect">
                      <a:avLst/>
                    </a:prstGeom>
                    <a:noFill/>
                    <a:ln>
                      <a:noFill/>
                    </a:ln>
                  </pic:spPr>
                </pic:pic>
              </a:graphicData>
            </a:graphic>
          </wp:inline>
        </w:drawing>
      </w:r>
      <w:r>
        <w:rPr>
          <w:sz w:val="20"/>
        </w:rPr>
        <w:t xml:space="preserve"> - тариф на питьевую воду (питьевое водоснабжение), рассчитанный в соответствии с </w:t>
      </w:r>
      <w:hyperlink w:history="0" w:anchor="P881" w:tooltip="VIII. Расчет одноставочных тарифов в сфере водоснабжения">
        <w:r>
          <w:rPr>
            <w:sz w:val="20"/>
            <w:color w:val="0000ff"/>
          </w:rPr>
          <w:t xml:space="preserve">главами VIII</w:t>
        </w:r>
      </w:hyperlink>
      <w:r>
        <w:rPr>
          <w:sz w:val="20"/>
        </w:rPr>
        <w:t xml:space="preserve">, </w:t>
      </w:r>
      <w:hyperlink w:history="0" w:anchor="P893" w:tooltip="VIII.I. Расчет двухставочных и многоставочных тарифов">
        <w:r>
          <w:rPr>
            <w:sz w:val="20"/>
            <w:color w:val="0000ff"/>
          </w:rPr>
          <w:t xml:space="preserve">VIII.I</w:t>
        </w:r>
      </w:hyperlink>
      <w:r>
        <w:rPr>
          <w:sz w:val="20"/>
        </w:rPr>
        <w:t xml:space="preserve"> настоящих Методических указаний, руб./куб. м.</w:t>
      </w:r>
    </w:p>
    <w:bookmarkStart w:id="985" w:name="P985"/>
    <w:bookmarkEnd w:id="985"/>
    <w:p>
      <w:pPr>
        <w:pStyle w:val="0"/>
        <w:spacing w:before="200" w:lineRule="auto"/>
        <w:ind w:firstLine="540"/>
        <w:jc w:val="both"/>
      </w:pPr>
      <w:r>
        <w:rPr>
          <w:sz w:val="20"/>
        </w:rPr>
        <w:t xml:space="preserve">112. 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w:history="0" w:anchor="P110" w:tooltip="IV. Расчет необходимой валовой выручки методом экономически">
        <w:r>
          <w:rPr>
            <w:sz w:val="20"/>
            <w:color w:val="0000ff"/>
          </w:rPr>
          <w:t xml:space="preserve">разделом IV</w:t>
        </w:r>
      </w:hyperlink>
      <w:r>
        <w:rPr>
          <w:sz w:val="20"/>
        </w:rPr>
        <w:t xml:space="preserve"> настоящих Методических указаний, но не выше тарифа гарантирующей организации на питьевую воду (питьевое водоснабжение).</w:t>
      </w:r>
    </w:p>
    <w:p>
      <w:pPr>
        <w:pStyle w:val="0"/>
        <w:spacing w:before="200" w:lineRule="auto"/>
        <w:ind w:firstLine="540"/>
        <w:jc w:val="both"/>
      </w:pPr>
      <w:r>
        <w:rPr>
          <w:sz w:val="20"/>
        </w:rPr>
        <w:t xml:space="preserve">113. При утверждении двухкомпонентного тарифа на горячую воду в закрытой системе горячего водоснабжения значение компонента на тепловую энергию при установленном одноставочном тарифе на тепловую энергию определяется по формуле:</w:t>
      </w:r>
    </w:p>
    <w:p>
      <w:pPr>
        <w:pStyle w:val="0"/>
        <w:jc w:val="both"/>
      </w:pPr>
      <w:r>
        <w:rPr>
          <w:sz w:val="20"/>
        </w:rPr>
      </w:r>
    </w:p>
    <w:p>
      <w:pPr>
        <w:pStyle w:val="0"/>
        <w:jc w:val="center"/>
      </w:pPr>
      <w:r>
        <w:rPr>
          <w:position w:val="-23"/>
        </w:rPr>
        <w:drawing>
          <wp:inline distT="0" distB="0" distL="0" distR="0">
            <wp:extent cx="1676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r>
        <w:rPr>
          <w:sz w:val="20"/>
        </w:rPr>
        <w:t xml:space="preserve"> (48),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 компонент на тепловую энергию, руб./Гкал;</w:t>
      </w:r>
    </w:p>
    <w:p>
      <w:pPr>
        <w:pStyle w:val="0"/>
        <w:spacing w:before="200" w:lineRule="auto"/>
        <w:ind w:firstLine="540"/>
        <w:jc w:val="both"/>
      </w:pPr>
      <w:r>
        <w:rPr>
          <w:position w:val="-8"/>
        </w:rPr>
        <w:drawing>
          <wp:inline distT="0" distB="0" distL="0" distR="0">
            <wp:extent cx="266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sz w:val="20"/>
        </w:rPr>
        <w:t xml:space="preserve"> - тариф на тепловую энергию (мощность), установленный органом регулирования в виде одноставочного тарифа, руб./Гкал;</w:t>
      </w:r>
    </w:p>
    <w:p>
      <w:pPr>
        <w:pStyle w:val="0"/>
        <w:spacing w:before="200" w:lineRule="auto"/>
        <w:ind w:firstLine="540"/>
        <w:jc w:val="both"/>
      </w:pPr>
      <w:r>
        <w:rPr>
          <w:sz w:val="20"/>
        </w:rPr>
        <w:t xml:space="preserve">П</w:t>
      </w:r>
      <w:r>
        <w:rPr>
          <w:sz w:val="20"/>
          <w:vertAlign w:val="subscript"/>
        </w:rPr>
        <w:t xml:space="preserve">т</w:t>
      </w:r>
      <w:r>
        <w:rPr>
          <w:sz w:val="20"/>
        </w:rPr>
        <w:t xml:space="preserve"> -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(включительно),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 руб.</w:t>
      </w:r>
    </w:p>
    <w:p>
      <w:pPr>
        <w:pStyle w:val="0"/>
        <w:spacing w:before="200" w:lineRule="auto"/>
        <w:ind w:firstLine="540"/>
        <w:jc w:val="both"/>
      </w:pPr>
      <w:r>
        <w:rPr>
          <w:sz w:val="20"/>
        </w:rPr>
        <w:t xml:space="preserve">Уровень потерь тепловой энергии, принятый в расчете стоимости потерь тепловой энергии, указанный в настоящем пункте,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pPr>
        <w:pStyle w:val="0"/>
        <w:spacing w:before="200" w:lineRule="auto"/>
        <w:ind w:firstLine="540"/>
        <w:jc w:val="both"/>
      </w:pPr>
      <w:r>
        <w:rPr>
          <w:sz w:val="20"/>
        </w:rPr>
        <w:t xml:space="preserve">С</w:t>
      </w:r>
      <w:r>
        <w:rPr>
          <w:sz w:val="20"/>
          <w:vertAlign w:val="subscript"/>
        </w:rPr>
        <w:t xml:space="preserve">цтп</w:t>
      </w:r>
      <w:r>
        <w:rPr>
          <w:sz w:val="20"/>
        </w:rPr>
        <w:t xml:space="preserve"> -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 руб.;</w:t>
      </w:r>
    </w:p>
    <w:p>
      <w:pPr>
        <w:pStyle w:val="0"/>
        <w:spacing w:before="200" w:lineRule="auto"/>
        <w:ind w:firstLine="540"/>
        <w:jc w:val="both"/>
      </w:pPr>
      <w:r>
        <w:rPr>
          <w:sz w:val="20"/>
        </w:rPr>
        <w:t xml:space="preserve">Р</w:t>
      </w:r>
      <w:r>
        <w:rPr>
          <w:sz w:val="20"/>
          <w:vertAlign w:val="subscript"/>
        </w:rPr>
        <w:t xml:space="preserve">т</w:t>
      </w:r>
      <w:r>
        <w:rPr>
          <w:sz w:val="20"/>
        </w:rPr>
        <w:t xml:space="preserve"> - расходы, связанные с транспортировкой горячей воды, - в случае, если такие расходы не учтены при установлении тарифов на тепловую энергию (мощность), руб.;</w:t>
      </w:r>
    </w:p>
    <w:p>
      <w:pPr>
        <w:pStyle w:val="0"/>
        <w:spacing w:before="200" w:lineRule="auto"/>
        <w:ind w:firstLine="540"/>
        <w:jc w:val="both"/>
      </w:pPr>
      <w:r>
        <w:rPr>
          <w:sz w:val="20"/>
        </w:rPr>
        <w:t xml:space="preserve">Q</w:t>
      </w:r>
      <w:r>
        <w:rPr>
          <w:sz w:val="20"/>
          <w:vertAlign w:val="subscript"/>
        </w:rPr>
        <w:t xml:space="preserve">i</w:t>
      </w:r>
      <w:r>
        <w:rPr>
          <w:sz w:val="20"/>
        </w:rPr>
        <w:t xml:space="preserve"> - объем тепловой энергии, реализуемой абонентам в i-ом периоде регулирования в целях оказания услуги горячего водоснабжения в закрытой системе горячего водоснабжения, определяемый в соответствии с </w:t>
      </w:r>
      <w:hyperlink w:history="0" w:anchor="P1104" w:tooltip="Баланс водоснабжения">
        <w:r>
          <w:rPr>
            <w:sz w:val="20"/>
            <w:color w:val="0000ff"/>
          </w:rPr>
          <w:t xml:space="preserve">Приложением 1</w:t>
        </w:r>
      </w:hyperlink>
      <w:r>
        <w:rPr>
          <w:sz w:val="20"/>
        </w:rPr>
        <w:t xml:space="preserve"> к настоящим Методическим указаниям, тыс. Гкал.</w:t>
      </w:r>
    </w:p>
    <w:p>
      <w:pPr>
        <w:pStyle w:val="0"/>
        <w:spacing w:before="200" w:lineRule="auto"/>
        <w:ind w:firstLine="540"/>
        <w:jc w:val="both"/>
      </w:pPr>
      <w:r>
        <w:rPr>
          <w:sz w:val="20"/>
        </w:rPr>
        <w:t xml:space="preserve">При утверждении двухкомпонентного тарифа на горячую воду в закрытой системе горячего водоснабжения значение компонента на тепловую энергию при установленном двухставочном тарифе на тепловую энергию (мощность) определяется по формулам:</w:t>
      </w:r>
    </w:p>
    <w:p>
      <w:pPr>
        <w:pStyle w:val="0"/>
        <w:jc w:val="both"/>
      </w:pPr>
      <w:r>
        <w:rPr>
          <w:sz w:val="20"/>
        </w:rPr>
      </w:r>
    </w:p>
    <w:p>
      <w:pPr>
        <w:pStyle w:val="0"/>
        <w:jc w:val="center"/>
      </w:pPr>
      <w:r>
        <w:rPr>
          <w:position w:val="-23"/>
        </w:rPr>
        <w:drawing>
          <wp:inline distT="0" distB="0" distL="0" distR="0">
            <wp:extent cx="15240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r>
        <w:rPr>
          <w:sz w:val="20"/>
        </w:rPr>
        <w:t xml:space="preserve"> (49),</w:t>
      </w:r>
    </w:p>
    <w:p>
      <w:pPr>
        <w:pStyle w:val="0"/>
        <w:jc w:val="both"/>
      </w:pPr>
      <w:r>
        <w:rPr>
          <w:sz w:val="20"/>
        </w:rPr>
      </w:r>
    </w:p>
    <w:p>
      <w:pPr>
        <w:pStyle w:val="0"/>
        <w:jc w:val="center"/>
      </w:pPr>
      <w:r>
        <w:rPr>
          <w:position w:val="-25"/>
        </w:rPr>
        <w:drawing>
          <wp:inline distT="0" distB="0" distL="0" distR="0">
            <wp:extent cx="19907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1990725" cy="447675"/>
                    </a:xfrm>
                    <a:prstGeom prst="rect">
                      <a:avLst/>
                    </a:prstGeom>
                    <a:noFill/>
                    <a:ln>
                      <a:noFill/>
                    </a:ln>
                  </pic:spPr>
                </pic:pic>
              </a:graphicData>
            </a:graphic>
          </wp:inline>
        </w:drawing>
      </w:r>
      <w:r>
        <w:rPr>
          <w:sz w:val="20"/>
        </w:rPr>
        <w:t xml:space="preserve"> (49.1),</w:t>
      </w:r>
    </w:p>
    <w:p>
      <w:pPr>
        <w:pStyle w:val="0"/>
        <w:jc w:val="both"/>
      </w:pPr>
      <w:r>
        <w:rPr>
          <w:sz w:val="20"/>
        </w:rPr>
      </w:r>
    </w:p>
    <w:p>
      <w:pPr>
        <w:pStyle w:val="0"/>
        <w:ind w:firstLine="540"/>
        <w:jc w:val="both"/>
      </w:pPr>
      <w:r>
        <w:rPr>
          <w:sz w:val="20"/>
        </w:rPr>
        <w:t xml:space="preserve">где:</w:t>
      </w:r>
    </w:p>
    <w:p>
      <w:pPr>
        <w:pStyle w:val="0"/>
        <w:jc w:val="both"/>
      </w:pPr>
      <w:r>
        <w:rPr>
          <w:sz w:val="20"/>
        </w:rPr>
      </w:r>
    </w:p>
    <w:p>
      <w:pPr>
        <w:pStyle w:val="0"/>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компонент на тепловую энергию в части условно-переменных расходов, руб./Гкал;</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ставка на тепловую энергию двухставочного тарифа, руб./Гкал;</w:t>
      </w:r>
    </w:p>
    <w:p>
      <w:pPr>
        <w:pStyle w:val="0"/>
        <w:spacing w:before="200" w:lineRule="auto"/>
        <w:ind w:firstLine="540"/>
        <w:jc w:val="both"/>
      </w:pPr>
      <w:r>
        <w:rPr>
          <w:sz w:val="20"/>
        </w:rPr>
        <w:t xml:space="preserve">П</w:t>
      </w:r>
      <w:r>
        <w:rPr>
          <w:sz w:val="20"/>
          <w:vertAlign w:val="subscript"/>
        </w:rPr>
        <w:t xml:space="preserve">т</w:t>
      </w:r>
      <w:r>
        <w:rPr>
          <w:sz w:val="20"/>
        </w:rPr>
        <w:t xml:space="preserve"> -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(включительно),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 руб.</w:t>
      </w:r>
    </w:p>
    <w:p>
      <w:pPr>
        <w:pStyle w:val="0"/>
        <w:spacing w:before="200" w:lineRule="auto"/>
        <w:ind w:firstLine="540"/>
        <w:jc w:val="both"/>
      </w:pPr>
      <w:r>
        <w:rPr>
          <w:sz w:val="20"/>
        </w:rPr>
        <w:t xml:space="preserve">Уровень потерь тепловой энергии, принятый в расчете стоимости потерь тепловой энергии, указанный в настоящем пункте,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pPr>
        <w:pStyle w:val="0"/>
        <w:spacing w:before="200" w:lineRule="auto"/>
        <w:ind w:firstLine="540"/>
        <w:jc w:val="both"/>
      </w:pPr>
      <w:r>
        <w:rPr>
          <w:sz w:val="20"/>
        </w:rPr>
        <w:t xml:space="preserve">Р</w:t>
      </w:r>
      <w:r>
        <w:rPr>
          <w:sz w:val="20"/>
          <w:vertAlign w:val="subscript"/>
        </w:rPr>
        <w:t xml:space="preserve">т</w:t>
      </w:r>
      <w:r>
        <w:rPr>
          <w:sz w:val="20"/>
        </w:rPr>
        <w:t xml:space="preserve"> - расходы, связанные с транспортировкой горячей воды, - в случае, если такие расходы не учтены при установлении тарифов на тепловую энергию (мощность), руб.;</w:t>
      </w:r>
    </w:p>
    <w:p>
      <w:pPr>
        <w:pStyle w:val="0"/>
        <w:spacing w:before="200" w:lineRule="auto"/>
        <w:ind w:firstLine="540"/>
        <w:jc w:val="both"/>
      </w:pPr>
      <w:r>
        <w:rPr>
          <w:sz w:val="20"/>
        </w:rPr>
        <w:t xml:space="preserve">Q</w:t>
      </w:r>
      <w:r>
        <w:rPr>
          <w:sz w:val="20"/>
          <w:vertAlign w:val="subscript"/>
        </w:rPr>
        <w:t xml:space="preserve">i</w:t>
      </w:r>
      <w:r>
        <w:rPr>
          <w:sz w:val="20"/>
        </w:rPr>
        <w:t xml:space="preserve"> - объем тепловой энергии, реализуемой абонентам в i-ом периоде регулирования в целях оказания услуги горячего водоснабжения в закрытой системе горячего водоснабжения, определяемый в соответствии с </w:t>
      </w:r>
      <w:hyperlink w:history="0" w:anchor="P1104" w:tooltip="Баланс водоснабжения">
        <w:r>
          <w:rPr>
            <w:sz w:val="20"/>
            <w:color w:val="0000ff"/>
          </w:rPr>
          <w:t xml:space="preserve">Приложением 1</w:t>
        </w:r>
      </w:hyperlink>
      <w:r>
        <w:rPr>
          <w:sz w:val="20"/>
        </w:rPr>
        <w:t xml:space="preserve"> к настоящим Методическим указаниям, тыс. Гкал;</w:t>
      </w:r>
    </w:p>
    <w:p>
      <w:pPr>
        <w:pStyle w:val="0"/>
        <w:spacing w:before="200" w:lineRule="auto"/>
        <w:ind w:firstLine="540"/>
        <w:jc w:val="both"/>
      </w:pPr>
      <w:r>
        <w:rPr>
          <w:position w:val="-8"/>
        </w:rPr>
        <w:drawing>
          <wp:inline distT="0" distB="0" distL="0" distR="0">
            <wp:extent cx="4476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Pr>
          <w:sz w:val="20"/>
        </w:rPr>
        <w:t xml:space="preserve"> - компонент на тепловую энергию в части условно-постоянных расходов, руб./Гкал/ч в мес.;</w:t>
      </w:r>
    </w:p>
    <w:p>
      <w:pPr>
        <w:pStyle w:val="0"/>
        <w:spacing w:before="200" w:lineRule="auto"/>
        <w:ind w:firstLine="540"/>
        <w:jc w:val="both"/>
      </w:pPr>
      <w:r>
        <w:rPr>
          <w:position w:val="-8"/>
        </w:rPr>
        <w:drawing>
          <wp:inline distT="0" distB="0" distL="0" distR="0">
            <wp:extent cx="4191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Pr>
          <w:sz w:val="20"/>
        </w:rPr>
        <w:t xml:space="preserve"> - ставка на содержание тепловой мощности двухставочного тарифа, тыс. руб./Гкал/ч в мес.;</w:t>
      </w:r>
    </w:p>
    <w:p>
      <w:pPr>
        <w:pStyle w:val="0"/>
        <w:spacing w:before="200" w:lineRule="auto"/>
        <w:ind w:firstLine="540"/>
        <w:jc w:val="both"/>
      </w:pPr>
      <w:r>
        <w:rPr>
          <w:sz w:val="20"/>
        </w:rPr>
        <w:t xml:space="preserve">С</w:t>
      </w:r>
      <w:r>
        <w:rPr>
          <w:sz w:val="20"/>
          <w:vertAlign w:val="subscript"/>
        </w:rPr>
        <w:t xml:space="preserve">цтп</w:t>
      </w:r>
      <w:r>
        <w:rPr>
          <w:sz w:val="20"/>
        </w:rPr>
        <w:t xml:space="preserve"> -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 руб.;</w:t>
      </w:r>
    </w:p>
    <w:p>
      <w:pPr>
        <w:pStyle w:val="0"/>
        <w:spacing w:before="200" w:lineRule="auto"/>
        <w:ind w:firstLine="540"/>
        <w:jc w:val="both"/>
      </w:pPr>
      <w:r>
        <w:rPr>
          <w:sz w:val="20"/>
        </w:rPr>
        <w:t xml:space="preserve">р</w:t>
      </w:r>
      <w:r>
        <w:rPr>
          <w:sz w:val="20"/>
          <w:vertAlign w:val="subscript"/>
        </w:rPr>
        <w:t xml:space="preserve">гвс</w:t>
      </w:r>
      <w:r>
        <w:rPr>
          <w:sz w:val="20"/>
        </w:rPr>
        <w:t xml:space="preserve"> - присоединенная мощность абонентов, которым оказываются услуги горячего водоснабжения в закрытой системе горячего водоснабжения, Гкал/ч мес.</w:t>
      </w:r>
    </w:p>
    <w:p>
      <w:pPr>
        <w:pStyle w:val="0"/>
        <w:jc w:val="both"/>
      </w:pPr>
      <w:r>
        <w:rPr>
          <w:sz w:val="20"/>
        </w:rPr>
        <w:t xml:space="preserve">(п. 113 в ред. </w:t>
      </w:r>
      <w:hyperlink w:history="0" r:id="rId443"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Приказа</w:t>
        </w:r>
      </w:hyperlink>
      <w:r>
        <w:rPr>
          <w:sz w:val="20"/>
        </w:rPr>
        <w:t xml:space="preserve"> ФАС России от 08.10.2020 N 976/20)</w:t>
      </w:r>
    </w:p>
    <w:bookmarkStart w:id="1017" w:name="P1017"/>
    <w:bookmarkEnd w:id="1017"/>
    <w:p>
      <w:pPr>
        <w:pStyle w:val="0"/>
        <w:spacing w:before="200" w:lineRule="auto"/>
        <w:ind w:firstLine="540"/>
        <w:jc w:val="both"/>
      </w:pPr>
      <w:r>
        <w:rPr>
          <w:sz w:val="20"/>
        </w:rPr>
        <w:t xml:space="preserve">113(1). Значение компонента на тепловую энергию после окончания переходного периода в ценовых зонах теплоснабжения определяется по формуле:</w:t>
      </w:r>
    </w:p>
    <w:p>
      <w:pPr>
        <w:pStyle w:val="0"/>
        <w:jc w:val="both"/>
      </w:pPr>
      <w:r>
        <w:rPr>
          <w:sz w:val="20"/>
        </w:rPr>
      </w:r>
    </w:p>
    <w:p>
      <w:pPr>
        <w:pStyle w:val="0"/>
        <w:jc w:val="center"/>
      </w:pPr>
      <w:r>
        <w:rPr>
          <w:position w:val="-9"/>
        </w:rPr>
        <w:drawing>
          <wp:inline distT="0" distB="0" distL="0" distR="0">
            <wp:extent cx="10896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a:extLst>
                        <a:ext uri="{28A0092B-C50C-407E-A947-70E740481C1C}">
                          <a14:useLocalDpi xmlns:a14="http://schemas.microsoft.com/office/drawing/2010/main" val="0"/>
                        </a:ext>
                      </a:extLst>
                    </a:blip>
                    <a:srcRect/>
                    <a:stretch>
                      <a:fillRect/>
                    </a:stretch>
                  </pic:blipFill>
                  <pic:spPr bwMode="auto">
                    <a:xfrm>
                      <a:off x="0" y="0"/>
                      <a:ext cx="1089660" cy="241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54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254000" cy="241300"/>
                    </a:xfrm>
                    <a:prstGeom prst="rect">
                      <a:avLst/>
                    </a:prstGeom>
                    <a:noFill/>
                    <a:ln>
                      <a:noFill/>
                    </a:ln>
                  </pic:spPr>
                </pic:pic>
              </a:graphicData>
            </a:graphic>
          </wp:inline>
        </w:drawing>
      </w:r>
      <w:r>
        <w:rPr>
          <w:sz w:val="20"/>
        </w:rPr>
        <w:t xml:space="preserve"> - компонент на тепловую энергию, руб./Гкал;</w:t>
      </w:r>
    </w:p>
    <w:p>
      <w:pPr>
        <w:pStyle w:val="0"/>
        <w:spacing w:before="200" w:lineRule="auto"/>
        <w:ind w:firstLine="540"/>
        <w:jc w:val="both"/>
      </w:pP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 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регулирования тарифов, за исключением случаев, указанных в </w:t>
      </w:r>
      <w:hyperlink w:history="0" r:id="rId447"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частях 2.1</w:t>
        </w:r>
      </w:hyperlink>
      <w:r>
        <w:rPr>
          <w:sz w:val="20"/>
        </w:rPr>
        <w:t xml:space="preserve"> - </w:t>
      </w:r>
      <w:hyperlink w:history="0" r:id="rId448" w:tooltip="Федеральный закон от 27.07.2010 N 190-ФЗ (ред. от 08.08.2024) &quot;О теплоснабжении&quot; (с изм. и доп., вступ. в силу с 01.03.2025) {КонсультантПлюс}">
        <w:r>
          <w:rPr>
            <w:sz w:val="20"/>
            <w:color w:val="0000ff"/>
          </w:rPr>
          <w:t xml:space="preserve">2.3 статьи 8</w:t>
        </w:r>
      </w:hyperlink>
      <w:r>
        <w:rPr>
          <w:sz w:val="20"/>
        </w:rPr>
        <w:t xml:space="preserve"> и </w:t>
      </w:r>
      <w:hyperlink w:history="0" r:id="rId449" w:tooltip="Федеральный закон от 27.07.2010 N 190-ФЗ (ред. от 08.08.2024) &quot;О теплоснабжении&quot; (с изм. и доп., вступ. в силу с 01.03.2025) {КонсультантПлюс}">
        <w:r>
          <w:rPr>
            <w:sz w:val="20"/>
            <w:color w:val="0000ff"/>
          </w:rPr>
          <w:t xml:space="preserve">12.1</w:t>
        </w:r>
      </w:hyperlink>
      <w:r>
        <w:rPr>
          <w:sz w:val="20"/>
        </w:rPr>
        <w:t xml:space="preserve"> - </w:t>
      </w:r>
      <w:hyperlink w:history="0" r:id="rId450" w:tooltip="Федеральный закон от 27.07.2010 N 190-ФЗ (ред. от 08.08.2024) &quot;О теплоснабжении&quot; (с изм. и доп., вступ. в силу с 01.03.2025) {КонсультантПлюс}">
        <w:r>
          <w:rPr>
            <w:sz w:val="20"/>
            <w:color w:val="0000ff"/>
          </w:rPr>
          <w:t xml:space="preserve">12.4 статьи 10</w:t>
        </w:r>
      </w:hyperlink>
      <w:r>
        <w:rPr>
          <w:sz w:val="20"/>
        </w:rPr>
        <w:t xml:space="preserve"> Федерального закона от 27.07.2010 N 190-ФЗ "О теплоснабжении" (далее - Федеральный закон N 190-ФЗ) (Собрание законодательства, 2010, N 31, ст. 4159; 2018, N 31, ст. 4861), руб./Гкал.</w:t>
      </w:r>
    </w:p>
    <w:p>
      <w:pPr>
        <w:pStyle w:val="0"/>
        <w:jc w:val="both"/>
      </w:pPr>
      <w:r>
        <w:rPr>
          <w:sz w:val="20"/>
        </w:rPr>
        <w:t xml:space="preserve">(п. 113(1) введен </w:t>
      </w:r>
      <w:hyperlink w:history="0" r:id="rId451"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Приказом</w:t>
        </w:r>
      </w:hyperlink>
      <w:r>
        <w:rPr>
          <w:sz w:val="20"/>
        </w:rPr>
        <w:t xml:space="preserve"> ФАС России от 29.10.2019 N 1438/19)</w:t>
      </w:r>
    </w:p>
    <w:p>
      <w:pPr>
        <w:pStyle w:val="0"/>
        <w:spacing w:before="200" w:lineRule="auto"/>
        <w:ind w:firstLine="540"/>
        <w:jc w:val="both"/>
      </w:pPr>
      <w:r>
        <w:rPr>
          <w:sz w:val="20"/>
        </w:rPr>
        <w:t xml:space="preserve">114. В случае, если при установлении тарифов на тепловую энергию не были учтены расходы регулируемой организации, предусмотренные </w:t>
      </w:r>
      <w:hyperlink w:history="0" r:id="rId452"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пунктами "б"</w:t>
        </w:r>
      </w:hyperlink>
      <w:r>
        <w:rPr>
          <w:sz w:val="20"/>
        </w:rPr>
        <w:t xml:space="preserve">, </w:t>
      </w:r>
      <w:hyperlink w:history="0" r:id="rId453"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"в"</w:t>
        </w:r>
      </w:hyperlink>
      <w:r>
        <w:rPr>
          <w:sz w:val="20"/>
        </w:rPr>
        <w:t xml:space="preserve">, </w:t>
      </w:r>
      <w:hyperlink w:history="0" r:id="rId454"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"г" пункта 92</w:t>
        </w:r>
      </w:hyperlink>
      <w:r>
        <w:rPr>
          <w:sz w:val="20"/>
        </w:rPr>
        <w:t xml:space="preserve"> Основ ценообразования, такие расходы учитываются при расчете компонента на тепловую энергию.</w:t>
      </w:r>
    </w:p>
    <w:p>
      <w:pPr>
        <w:pStyle w:val="0"/>
        <w:spacing w:before="200" w:lineRule="auto"/>
        <w:ind w:firstLine="540"/>
        <w:jc w:val="both"/>
      </w:pPr>
      <w:r>
        <w:rPr>
          <w:sz w:val="20"/>
        </w:rPr>
        <w:t xml:space="preserve">114.1. Однокомпонентный тариф на горячую воду в закрытой системе горячего водоснабжения в расчете на 1 куб. м при установленном одноставочном тарифе на тепловую энергию (мощность) рассчитывается по следующей формуле:</w:t>
      </w:r>
    </w:p>
    <w:p>
      <w:pPr>
        <w:pStyle w:val="0"/>
        <w:jc w:val="both"/>
      </w:pPr>
      <w:r>
        <w:rPr>
          <w:sz w:val="20"/>
        </w:rPr>
      </w:r>
    </w:p>
    <w:p>
      <w:pPr>
        <w:pStyle w:val="0"/>
        <w:jc w:val="center"/>
      </w:pPr>
      <w:r>
        <w:rPr>
          <w:position w:val="-25"/>
        </w:rPr>
        <w:drawing>
          <wp:inline distT="0" distB="0" distL="0" distR="0">
            <wp:extent cx="24860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a:extLst>
                        <a:ext uri="{28A0092B-C50C-407E-A947-70E740481C1C}">
                          <a14:useLocalDpi xmlns:a14="http://schemas.microsoft.com/office/drawing/2010/main" val="0"/>
                        </a:ext>
                      </a:extLst>
                    </a:blip>
                    <a:srcRect/>
                    <a:stretch>
                      <a:fillRect/>
                    </a:stretch>
                  </pic:blipFill>
                  <pic:spPr bwMode="auto">
                    <a:xfrm>
                      <a:off x="0" y="0"/>
                      <a:ext cx="2486025" cy="447675"/>
                    </a:xfrm>
                    <a:prstGeom prst="rect">
                      <a:avLst/>
                    </a:prstGeom>
                    <a:noFill/>
                    <a:ln>
                      <a:noFill/>
                    </a:ln>
                  </pic:spPr>
                </pic:pic>
              </a:graphicData>
            </a:graphic>
          </wp:inline>
        </w:drawing>
      </w:r>
      <w:r>
        <w:rPr>
          <w:sz w:val="20"/>
        </w:rPr>
        <w:t xml:space="preserve"> (49.3),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w:t>
      </w:r>
      <w:r>
        <w:rPr>
          <w:sz w:val="20"/>
          <w:vertAlign w:val="subscript"/>
        </w:rPr>
        <w:t xml:space="preserve">хвс</w:t>
      </w:r>
      <w:r>
        <w:rPr>
          <w:sz w:val="20"/>
        </w:rPr>
        <w:t xml:space="preserve"> - тариф на питьевую воду (питьевое водоснабжение), рассчитанный в соответствии с главами VIII, VIII.I настоящих Методических указаний, руб./куб. м;</w:t>
      </w:r>
    </w:p>
    <w:p>
      <w:pPr>
        <w:pStyle w:val="0"/>
        <w:spacing w:before="200" w:lineRule="auto"/>
        <w:ind w:firstLine="540"/>
        <w:jc w:val="both"/>
      </w:pPr>
      <w:r>
        <w:rPr>
          <w:position w:val="-8"/>
        </w:rPr>
        <w:drawing>
          <wp:inline distT="0" distB="0" distL="0" distR="0">
            <wp:extent cx="228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sz w:val="20"/>
        </w:rPr>
        <w:t xml:space="preserve"> - тариф на тепловую энергию (мощность), установленный органом регулирования в виде одноставочного тарифа, руб./Гкал;</w:t>
      </w:r>
    </w:p>
    <w:p>
      <w:pPr>
        <w:pStyle w:val="0"/>
        <w:spacing w:before="200" w:lineRule="auto"/>
        <w:ind w:firstLine="540"/>
        <w:jc w:val="both"/>
      </w:pPr>
      <w:r>
        <w:rPr>
          <w:sz w:val="20"/>
        </w:rPr>
        <w:t xml:space="preserve">П</w:t>
      </w:r>
      <w:r>
        <w:rPr>
          <w:sz w:val="20"/>
          <w:vertAlign w:val="subscript"/>
        </w:rPr>
        <w:t xml:space="preserve">т</w:t>
      </w:r>
      <w:r>
        <w:rPr>
          <w:sz w:val="20"/>
        </w:rPr>
        <w:t xml:space="preserve"> -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(включительно),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руб.</w:t>
      </w:r>
    </w:p>
    <w:p>
      <w:pPr>
        <w:pStyle w:val="0"/>
        <w:spacing w:before="200" w:lineRule="auto"/>
        <w:ind w:firstLine="540"/>
        <w:jc w:val="both"/>
      </w:pPr>
      <w:r>
        <w:rPr>
          <w:sz w:val="20"/>
        </w:rPr>
        <w:t xml:space="preserve">Уровень потерь тепловой энергии, принятый в расчете стоимости потерь тепловой энергии, указанный в настоящем пункте,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pPr>
        <w:pStyle w:val="0"/>
        <w:spacing w:before="200" w:lineRule="auto"/>
        <w:ind w:firstLine="540"/>
        <w:jc w:val="both"/>
      </w:pPr>
      <w:r>
        <w:rPr>
          <w:sz w:val="20"/>
        </w:rPr>
        <w:t xml:space="preserve">С</w:t>
      </w:r>
      <w:r>
        <w:rPr>
          <w:sz w:val="20"/>
          <w:vertAlign w:val="subscript"/>
        </w:rPr>
        <w:t xml:space="preserve">цтп</w:t>
      </w:r>
      <w:r>
        <w:rPr>
          <w:sz w:val="20"/>
        </w:rPr>
        <w:t xml:space="preserve"> -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руб.;</w:t>
      </w:r>
    </w:p>
    <w:p>
      <w:pPr>
        <w:pStyle w:val="0"/>
        <w:spacing w:before="200" w:lineRule="auto"/>
        <w:ind w:firstLine="540"/>
        <w:jc w:val="both"/>
      </w:pPr>
      <w:r>
        <w:rPr>
          <w:sz w:val="20"/>
        </w:rPr>
        <w:t xml:space="preserve">Р</w:t>
      </w:r>
      <w:r>
        <w:rPr>
          <w:sz w:val="20"/>
          <w:vertAlign w:val="subscript"/>
        </w:rPr>
        <w:t xml:space="preserve">т</w:t>
      </w:r>
      <w:r>
        <w:rPr>
          <w:sz w:val="20"/>
        </w:rPr>
        <w:t xml:space="preserve"> - расходы, связанные с транспортировкой горячей воды, - в случае, если такие расходы не учтены при установлении тарифов на тепловую энергию, руб.;</w:t>
      </w:r>
    </w:p>
    <w:p>
      <w:pPr>
        <w:pStyle w:val="0"/>
        <w:spacing w:before="200" w:lineRule="auto"/>
        <w:ind w:firstLine="540"/>
        <w:jc w:val="both"/>
      </w:pPr>
      <w:r>
        <w:rPr>
          <w:sz w:val="20"/>
        </w:rPr>
        <w:t xml:space="preserve">Q</w:t>
      </w:r>
      <w:r>
        <w:rPr>
          <w:sz w:val="20"/>
          <w:vertAlign w:val="subscript"/>
        </w:rPr>
        <w:t xml:space="preserve">i</w:t>
      </w:r>
      <w:r>
        <w:rPr>
          <w:sz w:val="20"/>
        </w:rPr>
        <w:t xml:space="preserve"> - объем тепловой энергии, реализуемой абонентам в i-ом периоде регулирования в целях оказания услуги горячего водоснабжения в закрытой системе горячего водоснабжения, определяемый в соответствии с </w:t>
      </w:r>
      <w:hyperlink w:history="0" w:anchor="P1104" w:tooltip="Баланс водоснабжения">
        <w:r>
          <w:rPr>
            <w:sz w:val="20"/>
            <w:color w:val="0000ff"/>
          </w:rPr>
          <w:t xml:space="preserve">Приложением 1</w:t>
        </w:r>
      </w:hyperlink>
      <w:r>
        <w:rPr>
          <w:sz w:val="20"/>
        </w:rPr>
        <w:t xml:space="preserve"> к настоящим Методическим указаниям, тыс. Гкал;</w:t>
      </w:r>
    </w:p>
    <w:p>
      <w:pPr>
        <w:pStyle w:val="0"/>
        <w:spacing w:before="200" w:lineRule="auto"/>
        <w:ind w:firstLine="540"/>
        <w:jc w:val="both"/>
      </w:pPr>
      <w:r>
        <w:rPr>
          <w:sz w:val="20"/>
        </w:rPr>
        <w:t xml:space="preserve">Q</w:t>
      </w:r>
      <w:r>
        <w:rPr>
          <w:sz w:val="20"/>
          <w:vertAlign w:val="superscript"/>
        </w:rPr>
        <w:t xml:space="preserve">т/э</w:t>
      </w:r>
      <w:r>
        <w:rPr>
          <w:sz w:val="20"/>
        </w:rPr>
        <w:t xml:space="preserve"> - объем (количество) тепловой энергии, необходимой для подогрева одного кубического метра холодной воды, определяется в соответствии с нормативом расхода тепловой энергии на подогрев холодной воды для предоставления коммунальной услуги по горячему водоснабжению в соответствии с </w:t>
      </w:r>
      <w:hyperlink w:history="0" r:id="rId457"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Гкал./куб. м." (Собрание законодательства Российской Федерации, 2006, N 22, ст. 2338; 2017, N 41, ст. 5965).</w:t>
      </w:r>
    </w:p>
    <w:p>
      <w:pPr>
        <w:pStyle w:val="0"/>
        <w:jc w:val="both"/>
      </w:pPr>
      <w:r>
        <w:rPr>
          <w:sz w:val="20"/>
        </w:rPr>
        <w:t xml:space="preserve">(п. 114.1 введен </w:t>
      </w:r>
      <w:hyperlink w:history="0" r:id="rId458"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Приказом</w:t>
        </w:r>
      </w:hyperlink>
      <w:r>
        <w:rPr>
          <w:sz w:val="20"/>
        </w:rPr>
        <w:t xml:space="preserve"> ФАС России от 08.10.2020 N 976/20)</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X. Расчет платы за подключение</w:t>
      </w:r>
    </w:p>
    <w:p>
      <w:pPr>
        <w:pStyle w:val="2"/>
        <w:jc w:val="center"/>
      </w:pPr>
      <w:r>
        <w:rPr>
          <w:sz w:val="20"/>
        </w:rPr>
        <w:t xml:space="preserve">(технологическое присоединение)</w:t>
      </w:r>
    </w:p>
    <w:p>
      <w:pPr>
        <w:pStyle w:val="0"/>
        <w:jc w:val="both"/>
      </w:pPr>
      <w:r>
        <w:rPr>
          <w:sz w:val="20"/>
        </w:rPr>
      </w:r>
    </w:p>
    <w:p>
      <w:pPr>
        <w:pStyle w:val="0"/>
        <w:ind w:firstLine="540"/>
        <w:jc w:val="both"/>
      </w:pPr>
      <w:r>
        <w:rPr>
          <w:sz w:val="20"/>
        </w:rPr>
        <w:t xml:space="preserve">115.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pPr>
        <w:pStyle w:val="0"/>
        <w:spacing w:before="200" w:lineRule="auto"/>
        <w:ind w:firstLine="540"/>
        <w:jc w:val="both"/>
      </w:pPr>
      <w:r>
        <w:rPr>
          <w:sz w:val="20"/>
        </w:rPr>
        <w:t xml:space="preserve">116. 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pPr>
        <w:pStyle w:val="0"/>
        <w:jc w:val="both"/>
      </w:pPr>
      <w:r>
        <w:rPr>
          <w:sz w:val="20"/>
        </w:rPr>
      </w:r>
    </w:p>
    <w:p>
      <w:pPr>
        <w:pStyle w:val="0"/>
        <w:jc w:val="center"/>
      </w:pPr>
      <w:r>
        <w:rPr>
          <w:position w:val="-10"/>
        </w:rPr>
        <w:drawing>
          <wp:inline distT="0" distB="0" distL="0" distR="0">
            <wp:extent cx="159067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a:extLst>
                        <a:ext uri="{28A0092B-C50C-407E-A947-70E740481C1C}">
                          <a14:useLocalDpi xmlns:a14="http://schemas.microsoft.com/office/drawing/2010/main" val="0"/>
                        </a:ext>
                      </a:extLst>
                    </a:blip>
                    <a:srcRect/>
                    <a:stretch>
                      <a:fillRect/>
                    </a:stretch>
                  </pic:blipFill>
                  <pic:spPr bwMode="auto">
                    <a:xfrm>
                      <a:off x="0" y="0"/>
                      <a:ext cx="1590675" cy="259715"/>
                    </a:xfrm>
                    <a:prstGeom prst="rect">
                      <a:avLst/>
                    </a:prstGeom>
                    <a:noFill/>
                    <a:ln>
                      <a:noFill/>
                    </a:ln>
                  </pic:spPr>
                </pic:pic>
              </a:graphicData>
            </a:graphic>
          </wp:inline>
        </w:drawing>
      </w:r>
      <w:r>
        <w:rPr>
          <w:sz w:val="20"/>
        </w:rPr>
        <w:t xml:space="preserve">, (50)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ПП - плата за подключение объекта абонента к централизованной системе водоснабжения и (или) водоотведения, тыс. руб.;</w:t>
      </w:r>
    </w:p>
    <w:p>
      <w:pPr>
        <w:pStyle w:val="0"/>
        <w:spacing w:before="200" w:lineRule="auto"/>
        <w:ind w:firstLine="540"/>
        <w:jc w:val="both"/>
      </w:pPr>
      <w:r>
        <w:rPr>
          <w:position w:val="-5"/>
        </w:rPr>
        <w:drawing>
          <wp:inline distT="0" distB="0" distL="0" distR="0">
            <wp:extent cx="2794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sz w:val="20"/>
        </w:rPr>
        <w:t xml:space="preserve"> - ставка тарифа за подключаемую нагрузку водопроводной или канализационной сети, тыс. руб./куб. м в сут.;</w:t>
      </w:r>
    </w:p>
    <w:p>
      <w:pPr>
        <w:pStyle w:val="0"/>
        <w:jc w:val="both"/>
      </w:pPr>
      <w:r>
        <w:rPr>
          <w:sz w:val="20"/>
        </w:rPr>
        <w:t xml:space="preserve">(в ред. </w:t>
      </w:r>
      <w:hyperlink w:history="0" r:id="rId461"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p>
      <w:pPr>
        <w:pStyle w:val="0"/>
        <w:spacing w:before="200" w:lineRule="auto"/>
        <w:ind w:firstLine="540"/>
        <w:jc w:val="both"/>
      </w:pPr>
      <w:r>
        <w:rPr>
          <w:sz w:val="20"/>
        </w:rPr>
        <w:t xml:space="preserve">М - подключаемая нагрузка (мощность) объекта абонента, определяемая исходя из диаметра подключаемой водопроводной или канализационной сети, куб. м/сут.;</w:t>
      </w:r>
    </w:p>
    <w:p>
      <w:pPr>
        <w:pStyle w:val="0"/>
        <w:spacing w:before="200" w:lineRule="auto"/>
        <w:ind w:firstLine="540"/>
        <w:jc w:val="both"/>
      </w:pPr>
      <w:r>
        <w:rPr>
          <w:position w:val="-9"/>
        </w:rPr>
        <w:drawing>
          <wp:inline distT="0" distB="0" distL="0" distR="0">
            <wp:extent cx="25336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a:extLst>
                        <a:ext uri="{28A0092B-C50C-407E-A947-70E740481C1C}">
                          <a14:useLocalDpi xmlns:a14="http://schemas.microsoft.com/office/drawing/2010/main" val="0"/>
                        </a:ext>
                      </a:extLst>
                    </a:blip>
                    <a:srcRect/>
                    <a:stretch>
                      <a:fillRect/>
                    </a:stretch>
                  </pic:blipFill>
                  <pic:spPr bwMode="auto">
                    <a:xfrm>
                      <a:off x="0" y="0"/>
                      <a:ext cx="253365" cy="253365"/>
                    </a:xfrm>
                    <a:prstGeom prst="rect">
                      <a:avLst/>
                    </a:prstGeom>
                    <a:noFill/>
                    <a:ln>
                      <a:noFill/>
                    </a:ln>
                  </pic:spPr>
                </pic:pic>
              </a:graphicData>
            </a:graphic>
          </wp:inline>
        </w:drawing>
      </w:r>
      <w:r>
        <w:rPr>
          <w:sz w:val="20"/>
        </w:rPr>
        <w:t xml:space="preserve"> - ставка тарифа за протяженность водопроводной или канализационной сети диаметром d, тыс. руб./км;</w:t>
      </w:r>
    </w:p>
    <w:p>
      <w:pPr>
        <w:pStyle w:val="0"/>
        <w:jc w:val="both"/>
      </w:pPr>
      <w:r>
        <w:rPr>
          <w:sz w:val="20"/>
        </w:rPr>
        <w:t xml:space="preserve">(в ред. </w:t>
      </w:r>
      <w:hyperlink w:history="0" r:id="rId463"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p>
      <w:pPr>
        <w:pStyle w:val="0"/>
        <w:spacing w:before="200" w:lineRule="auto"/>
        <w:ind w:firstLine="540"/>
        <w:jc w:val="both"/>
      </w:pPr>
      <w:r>
        <w:rPr>
          <w:sz w:val="20"/>
        </w:rPr>
        <w:t xml:space="preserve">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pPr>
        <w:pStyle w:val="0"/>
        <w:jc w:val="both"/>
      </w:pPr>
      <w:r>
        <w:rPr>
          <w:sz w:val="20"/>
        </w:rPr>
        <w:t xml:space="preserve">(в ред. </w:t>
      </w:r>
      <w:hyperlink w:history="0" r:id="rId464"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bookmarkStart w:id="1060" w:name="P1060"/>
    <w:bookmarkEnd w:id="1060"/>
    <w:p>
      <w:pPr>
        <w:pStyle w:val="0"/>
        <w:spacing w:before="200" w:lineRule="auto"/>
        <w:ind w:firstLine="540"/>
        <w:jc w:val="both"/>
      </w:pPr>
      <w:r>
        <w:rPr>
          <w:sz w:val="20"/>
        </w:rPr>
        <w:t xml:space="preserve">По решению органа регулирования тарифов ставки тарифов за подключаемую нагрузку и протяженность водопроводной и канализационной сети могут устанавливаться дифференцированно в зависимости от условий прокладки сетей. Диапазон диаметров водопроводных и канализационных сетей, а также условия прокладки сетей определяются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pStyle w:val="0"/>
        <w:spacing w:before="200" w:lineRule="auto"/>
        <w:ind w:firstLine="540"/>
        <w:jc w:val="both"/>
      </w:pPr>
      <w:r>
        <w:rPr>
          <w:sz w:val="20"/>
        </w:rPr>
        <w:t xml:space="preserve">117.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pPr>
        <w:pStyle w:val="0"/>
        <w:jc w:val="both"/>
      </w:pPr>
      <w:r>
        <w:rPr>
          <w:sz w:val="20"/>
        </w:rPr>
      </w:r>
    </w:p>
    <w:p>
      <w:pPr>
        <w:pStyle w:val="0"/>
        <w:jc w:val="center"/>
      </w:pPr>
      <w:r>
        <w:rPr>
          <w:position w:val="-28"/>
        </w:rPr>
        <w:drawing>
          <wp:inline distT="0" distB="0" distL="0" distR="0">
            <wp:extent cx="92392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a:extLst>
                        <a:ext uri="{28A0092B-C50C-407E-A947-70E740481C1C}">
                          <a14:useLocalDpi xmlns:a14="http://schemas.microsoft.com/office/drawing/2010/main" val="0"/>
                        </a:ext>
                      </a:extLst>
                    </a:blip>
                    <a:srcRect/>
                    <a:stretch>
                      <a:fillRect/>
                    </a:stretch>
                  </pic:blipFill>
                  <pic:spPr bwMode="auto">
                    <a:xfrm>
                      <a:off x="0" y="0"/>
                      <a:ext cx="923925" cy="490855"/>
                    </a:xfrm>
                    <a:prstGeom prst="rect">
                      <a:avLst/>
                    </a:prstGeom>
                    <a:noFill/>
                    <a:ln>
                      <a:noFill/>
                    </a:ln>
                  </pic:spPr>
                </pic:pic>
              </a:graphicData>
            </a:graphic>
          </wp:inline>
        </w:drawing>
      </w:r>
      <w:r>
        <w:rPr>
          <w:sz w:val="20"/>
        </w:rPr>
        <w:t xml:space="preserve">, (51)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19685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a:extLst>
                        <a:ext uri="{28A0092B-C50C-407E-A947-70E740481C1C}">
                          <a14:useLocalDpi xmlns:a14="http://schemas.microsoft.com/office/drawing/2010/main" val="0"/>
                        </a:ext>
                      </a:extLst>
                    </a:blip>
                    <a:srcRect/>
                    <a:stretch>
                      <a:fillRect/>
                    </a:stretch>
                  </pic:blipFill>
                  <pic:spPr bwMode="auto">
                    <a:xfrm>
                      <a:off x="0" y="0"/>
                      <a:ext cx="196850" cy="253365"/>
                    </a:xfrm>
                    <a:prstGeom prst="rect">
                      <a:avLst/>
                    </a:prstGeom>
                    <a:noFill/>
                    <a:ln>
                      <a:noFill/>
                    </a:ln>
                  </pic:spPr>
                </pic:pic>
              </a:graphicData>
            </a:graphic>
          </wp:inline>
        </w:drawing>
      </w:r>
      <w:r>
        <w:rPr>
          <w:sz w:val="20"/>
        </w:rPr>
        <w:t xml:space="preserve"> - расчетный объем расходов на i-тый год на подключение объектов абонентов, не включая расходы на строительство сетей и объектов на них, тыс. руб.;</w:t>
      </w:r>
    </w:p>
    <w:p>
      <w:pPr>
        <w:pStyle w:val="0"/>
        <w:spacing w:before="200" w:lineRule="auto"/>
        <w:ind w:firstLine="540"/>
        <w:jc w:val="both"/>
      </w:pPr>
      <w:r>
        <w:rPr>
          <w:position w:val="-8"/>
        </w:rPr>
        <w:drawing>
          <wp:inline distT="0" distB="0" distL="0" distR="0">
            <wp:extent cx="228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0"/>
        </w:rPr>
        <w:t xml:space="preserve"> - расчетный объем подключаемой на i-тый год нагрузки (мощности), кроме мощности, подключаемой по индивидуально рассчитанной плате, куб. м/сут.</w:t>
      </w:r>
    </w:p>
    <w:p>
      <w:pPr>
        <w:pStyle w:val="0"/>
        <w:jc w:val="both"/>
      </w:pPr>
      <w:r>
        <w:rPr>
          <w:sz w:val="20"/>
        </w:rPr>
        <w:t xml:space="preserve">(в ред. </w:t>
      </w:r>
      <w:hyperlink w:history="0" r:id="rId468"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rPr>
        <w:t xml:space="preserve"> ФСТ России от 24.11.2014 N 2054-э)</w:t>
      </w:r>
    </w:p>
    <w:p>
      <w:pPr>
        <w:pStyle w:val="0"/>
        <w:spacing w:before="200" w:lineRule="auto"/>
        <w:ind w:firstLine="540"/>
        <w:jc w:val="both"/>
      </w:pPr>
      <w:r>
        <w:rPr>
          <w:sz w:val="20"/>
        </w:rPr>
        <w:t xml:space="preserve">118.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pPr>
        <w:pStyle w:val="0"/>
        <w:spacing w:before="200" w:lineRule="auto"/>
        <w:ind w:firstLine="540"/>
        <w:jc w:val="both"/>
      </w:pPr>
      <w:r>
        <w:rPr>
          <w:sz w:val="20"/>
        </w:rPr>
        <w:t xml:space="preserve">119. 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pPr>
        <w:pStyle w:val="0"/>
        <w:jc w:val="both"/>
      </w:pPr>
      <w:r>
        <w:rPr>
          <w:sz w:val="20"/>
        </w:rPr>
      </w:r>
    </w:p>
    <w:p>
      <w:pPr>
        <w:pStyle w:val="0"/>
        <w:jc w:val="center"/>
      </w:pPr>
      <w:r>
        <w:rPr>
          <w:position w:val="-8"/>
        </w:rPr>
        <w:drawing>
          <wp:inline distT="0" distB="0" distL="0" distR="0">
            <wp:extent cx="790575"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a:extLst>
                        <a:ext uri="{28A0092B-C50C-407E-A947-70E740481C1C}">
                          <a14:useLocalDpi xmlns:a14="http://schemas.microsoft.com/office/drawing/2010/main" val="0"/>
                        </a:ext>
                      </a:extLst>
                    </a:blip>
                    <a:srcRect/>
                    <a:stretch>
                      <a:fillRect/>
                    </a:stretch>
                  </pic:blipFill>
                  <pic:spPr bwMode="auto">
                    <a:xfrm>
                      <a:off x="0" y="0"/>
                      <a:ext cx="790575" cy="235585"/>
                    </a:xfrm>
                    <a:prstGeom prst="rect">
                      <a:avLst/>
                    </a:prstGeom>
                    <a:noFill/>
                    <a:ln>
                      <a:noFill/>
                    </a:ln>
                  </pic:spPr>
                </pic:pic>
              </a:graphicData>
            </a:graphic>
          </wp:inline>
        </w:drawing>
      </w:r>
      <w:r>
        <w:rPr>
          <w:sz w:val="20"/>
        </w:rPr>
        <w:t xml:space="preserve">, (52)</w:t>
      </w:r>
    </w:p>
    <w:p>
      <w:pPr>
        <w:pStyle w:val="0"/>
        <w:jc w:val="both"/>
      </w:pPr>
      <w:r>
        <w:rPr>
          <w:sz w:val="20"/>
        </w:rPr>
      </w:r>
    </w:p>
    <w:p>
      <w:pPr>
        <w:pStyle w:val="0"/>
        <w:jc w:val="center"/>
      </w:pPr>
      <w:r>
        <w:rPr>
          <w:position w:val="-30"/>
        </w:rPr>
        <w:drawing>
          <wp:inline distT="0" distB="0" distL="0" distR="0">
            <wp:extent cx="1304925" cy="5200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a:extLst>
                        <a:ext uri="{28A0092B-C50C-407E-A947-70E740481C1C}">
                          <a14:useLocalDpi xmlns:a14="http://schemas.microsoft.com/office/drawing/2010/main" val="0"/>
                        </a:ext>
                      </a:extLst>
                    </a:blip>
                    <a:srcRect/>
                    <a:stretch>
                      <a:fillRect/>
                    </a:stretch>
                  </pic:blipFill>
                  <pic:spPr bwMode="auto">
                    <a:xfrm>
                      <a:off x="0" y="0"/>
                      <a:ext cx="1304925" cy="520065"/>
                    </a:xfrm>
                    <a:prstGeom prst="rect">
                      <a:avLst/>
                    </a:prstGeom>
                    <a:noFill/>
                    <a:ln>
                      <a:noFill/>
                    </a:ln>
                  </pic:spPr>
                </pic:pic>
              </a:graphicData>
            </a:graphic>
          </wp:inline>
        </w:drawing>
      </w:r>
      <w:r>
        <w:rPr>
          <w:sz w:val="20"/>
        </w:rPr>
        <w:t xml:space="preserve">, (52.1)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53365"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a:extLst>
                        <a:ext uri="{28A0092B-C50C-407E-A947-70E740481C1C}">
                          <a14:useLocalDpi xmlns:a14="http://schemas.microsoft.com/office/drawing/2010/main" val="0"/>
                        </a:ext>
                      </a:extLst>
                    </a:blip>
                    <a:srcRect/>
                    <a:stretch>
                      <a:fillRect/>
                    </a:stretch>
                  </pic:blipFill>
                  <pic:spPr bwMode="auto">
                    <a:xfrm>
                      <a:off x="0" y="0"/>
                      <a:ext cx="253365" cy="253365"/>
                    </a:xfrm>
                    <a:prstGeom prst="rect">
                      <a:avLst/>
                    </a:prstGeom>
                    <a:noFill/>
                    <a:ln>
                      <a:noFill/>
                    </a:ln>
                  </pic:spPr>
                </pic:pic>
              </a:graphicData>
            </a:graphic>
          </wp:inline>
        </w:drawing>
      </w:r>
      <w:r>
        <w:rPr>
          <w:sz w:val="20"/>
        </w:rPr>
        <w:t xml:space="preserve"> - ставка тарифа за протяженность водопроводной или канализационной сети диаметром d, тыс. руб./м;</w:t>
      </w:r>
    </w:p>
    <w:p>
      <w:pPr>
        <w:pStyle w:val="0"/>
        <w:spacing w:before="200" w:lineRule="auto"/>
        <w:ind w:firstLine="540"/>
        <w:jc w:val="both"/>
      </w:pPr>
      <w:r>
        <w:rPr>
          <w:position w:val="-5"/>
        </w:rPr>
        <w:drawing>
          <wp:inline distT="0" distB="0" distL="0" distR="0">
            <wp:extent cx="25336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a:extLst>
                        <a:ext uri="{28A0092B-C50C-407E-A947-70E740481C1C}">
                          <a14:useLocalDpi xmlns:a14="http://schemas.microsoft.com/office/drawing/2010/main" val="0"/>
                        </a:ext>
                      </a:extLst>
                    </a:blip>
                    <a:srcRect/>
                    <a:stretch>
                      <a:fillRect/>
                    </a:stretch>
                  </pic:blipFill>
                  <pic:spPr bwMode="auto">
                    <a:xfrm>
                      <a:off x="0" y="0"/>
                      <a:ext cx="253365" cy="190500"/>
                    </a:xfrm>
                    <a:prstGeom prst="rect">
                      <a:avLst/>
                    </a:prstGeom>
                    <a:noFill/>
                    <a:ln>
                      <a:noFill/>
                    </a:ln>
                  </pic:spPr>
                </pic:pic>
              </a:graphicData>
            </a:graphic>
          </wp:inline>
        </w:drawing>
      </w:r>
      <w:r>
        <w:rPr>
          <w:sz w:val="20"/>
        </w:rPr>
        <w:t xml:space="preserve"> - базовая ставка тарифа за протяженность водопроводной или канализационной сети, тыс. руб./м;</w:t>
      </w:r>
    </w:p>
    <w:p>
      <w:pPr>
        <w:pStyle w:val="0"/>
        <w:spacing w:before="200" w:lineRule="auto"/>
        <w:ind w:firstLine="540"/>
        <w:jc w:val="both"/>
      </w:pPr>
      <w:r>
        <w:rPr>
          <w:position w:val="-9"/>
        </w:rPr>
        <w:drawing>
          <wp:inline distT="0" distB="0" distL="0" distR="0">
            <wp:extent cx="1905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190500" cy="253365"/>
                    </a:xfrm>
                    <a:prstGeom prst="rect">
                      <a:avLst/>
                    </a:prstGeom>
                    <a:noFill/>
                    <a:ln>
                      <a:noFill/>
                    </a:ln>
                  </pic:spPr>
                </pic:pic>
              </a:graphicData>
            </a:graphic>
          </wp:inline>
        </w:drawing>
      </w:r>
      <w:r>
        <w:rPr>
          <w:sz w:val="20"/>
        </w:rPr>
        <w:t xml:space="preserve"> - расчетный объем расходов на подключение объектов абонентов в части строительства сетей диаметром d и объектов на них, тыс. руб.;</w:t>
      </w:r>
    </w:p>
    <w:p>
      <w:pPr>
        <w:pStyle w:val="0"/>
        <w:spacing w:before="200" w:lineRule="auto"/>
        <w:ind w:firstLine="540"/>
        <w:jc w:val="both"/>
      </w:pPr>
      <w:r>
        <w:rPr>
          <w:position w:val="-7"/>
        </w:rPr>
        <w:drawing>
          <wp:inline distT="0" distB="0" distL="0" distR="0">
            <wp:extent cx="184150" cy="227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a:extLst>
                        <a:ext uri="{28A0092B-C50C-407E-A947-70E740481C1C}">
                          <a14:useLocalDpi xmlns:a14="http://schemas.microsoft.com/office/drawing/2010/main" val="0"/>
                        </a:ext>
                      </a:extLst>
                    </a:blip>
                    <a:srcRect/>
                    <a:stretch>
                      <a:fillRect/>
                    </a:stretch>
                  </pic:blipFill>
                  <pic:spPr bwMode="auto">
                    <a:xfrm>
                      <a:off x="0" y="0"/>
                      <a:ext cx="184150" cy="227965"/>
                    </a:xfrm>
                    <a:prstGeom prst="rect">
                      <a:avLst/>
                    </a:prstGeom>
                    <a:noFill/>
                    <a:ln>
                      <a:noFill/>
                    </a:ln>
                  </pic:spPr>
                </pic:pic>
              </a:graphicData>
            </a:graphic>
          </wp:inline>
        </w:drawing>
      </w:r>
      <w:r>
        <w:rPr>
          <w:sz w:val="20"/>
        </w:rPr>
        <w:t xml:space="preserve"> - коэффициент дифференциации стоимости строительства сетей в зависимости от их диаметра d, определенный в соответствии с </w:t>
      </w:r>
      <w:hyperlink w:history="0" w:anchor="P242" w:tooltip="V. Расчет необходимой валовой выручки методом">
        <w:r>
          <w:rPr>
            <w:sz w:val="20"/>
            <w:color w:val="0000ff"/>
          </w:rPr>
          <w:t xml:space="preserve">формулой (3.1)</w:t>
        </w:r>
      </w:hyperlink>
      <w:r>
        <w:rPr>
          <w:sz w:val="20"/>
        </w:rPr>
        <w:t xml:space="preserve">;</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протяженность создаваемой водопроводной или канализационной сети диаметром d, км;</w:t>
      </w:r>
    </w:p>
    <w:p>
      <w:pPr>
        <w:pStyle w:val="0"/>
        <w:spacing w:before="200" w:lineRule="auto"/>
        <w:ind w:firstLine="540"/>
        <w:jc w:val="both"/>
      </w:pPr>
      <w:r>
        <w:rPr>
          <w:position w:val="-8"/>
        </w:rPr>
        <w:drawing>
          <wp:inline distT="0" distB="0" distL="0" distR="0">
            <wp:extent cx="190500"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rPr>
          <w:sz w:val="20"/>
        </w:rPr>
        <w:t xml:space="preserve"> - ставка налога на прибыль, определяемая в соответствии с Налоговым </w:t>
      </w:r>
      <w:hyperlink w:history="0" r:id="rId47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478"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Приказом</w:t>
        </w:r>
      </w:hyperlink>
      <w:r>
        <w:rPr>
          <w:sz w:val="20"/>
        </w:rPr>
        <w:t xml:space="preserve"> ФСТ России от 24.11.2014 N 2054-э)</w:t>
      </w:r>
    </w:p>
    <w:p>
      <w:pPr>
        <w:pStyle w:val="0"/>
        <w:spacing w:before="200" w:lineRule="auto"/>
        <w:ind w:firstLine="540"/>
        <w:jc w:val="both"/>
      </w:pPr>
      <w:r>
        <w:rPr>
          <w:sz w:val="20"/>
        </w:rPr>
        <w:t xml:space="preserve">120.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кроме платы за подключение, в том числе средств бюджетов бюджетной системы Российской Федерации.</w:t>
      </w:r>
    </w:p>
    <w:p>
      <w:pPr>
        <w:pStyle w:val="0"/>
        <w:spacing w:before="200" w:lineRule="auto"/>
        <w:ind w:firstLine="540"/>
        <w:jc w:val="both"/>
      </w:pPr>
      <w:r>
        <w:rPr>
          <w:sz w:val="20"/>
        </w:rPr>
        <w:t xml:space="preserve">121.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 а также расходов по уплате налога на прибыль.</w:t>
      </w:r>
    </w:p>
    <w:p>
      <w:pPr>
        <w:pStyle w:val="0"/>
        <w:jc w:val="both"/>
      </w:pPr>
      <w:r>
        <w:rPr>
          <w:sz w:val="20"/>
        </w:rPr>
        <w:t xml:space="preserve">(в ред. </w:t>
      </w:r>
      <w:hyperlink w:history="0" r:id="rId479" w:tooltip="Приказ ФАС России от 29.08.2017 N 1130/17 &quot;О внесении изме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1.09.2017 N 48267) {КонсультантПлюс}">
        <w:r>
          <w:rPr>
            <w:sz w:val="20"/>
            <w:color w:val="0000ff"/>
          </w:rPr>
          <w:t xml:space="preserve">Приказа</w:t>
        </w:r>
      </w:hyperlink>
      <w:r>
        <w:rPr>
          <w:sz w:val="20"/>
        </w:rPr>
        <w:t xml:space="preserve"> ФАС России от 29.08.2017 N 1130/17)</w:t>
      </w:r>
    </w:p>
    <w:bookmarkStart w:id="1087" w:name="P1087"/>
    <w:bookmarkEnd w:id="1087"/>
    <w:p>
      <w:pPr>
        <w:pStyle w:val="0"/>
        <w:spacing w:before="200" w:lineRule="auto"/>
        <w:ind w:firstLine="540"/>
        <w:jc w:val="both"/>
      </w:pPr>
      <w:r>
        <w:rPr>
          <w:sz w:val="20"/>
        </w:rPr>
        <w:t xml:space="preserve">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pPr>
        <w:pStyle w:val="0"/>
        <w:spacing w:before="200" w:lineRule="auto"/>
        <w:ind w:firstLine="540"/>
        <w:jc w:val="both"/>
      </w:pPr>
      <w:r>
        <w:rPr>
          <w:sz w:val="20"/>
        </w:rPr>
        <w:t xml:space="preserve">122. При установлении платы за подключение (технологическое присоединение) к централизованной системе водоснабжения и (или) водоотведения в 2022 и 2023 годах не применяются положения </w:t>
      </w:r>
      <w:hyperlink w:history="0" w:anchor="P1060" w:tooltip="По решению органа регулирования тарифов ставки тарифов за подключаемую нагрузку и протяженность водопроводной и канализационной сети могут устанавливаться дифференцированно в зависимости от условий прокладки сетей. Диапазон диаметров водопроводных и канализационных сетей, а также условия прокладки сетей определяются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
        <w:r>
          <w:rPr>
            <w:sz w:val="20"/>
            <w:color w:val="0000ff"/>
          </w:rPr>
          <w:t xml:space="preserve">абзаца девятого пункта 116</w:t>
        </w:r>
      </w:hyperlink>
      <w:r>
        <w:rPr>
          <w:sz w:val="20"/>
        </w:rPr>
        <w:t xml:space="preserve"> и </w:t>
      </w:r>
      <w:hyperlink w:history="0" w:anchor="P1087" w:tooltip="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
        <w:r>
          <w:rPr>
            <w:sz w:val="20"/>
            <w:color w:val="0000ff"/>
          </w:rPr>
          <w:t xml:space="preserve">абзаца второго пункта 121</w:t>
        </w:r>
      </w:hyperlink>
      <w:r>
        <w:rPr>
          <w:sz w:val="20"/>
        </w:rPr>
        <w:t xml:space="preserve"> Методических указаний в части непревышения величины, рассчитанной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pStyle w:val="0"/>
        <w:spacing w:before="200" w:lineRule="auto"/>
        <w:ind w:firstLine="540"/>
        <w:jc w:val="both"/>
      </w:pPr>
      <w:r>
        <w:rPr>
          <w:sz w:val="20"/>
        </w:rPr>
        <w:t xml:space="preserve">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122 введен </w:t>
      </w:r>
      <w:hyperlink w:history="0" r:id="rId480" w:tooltip="Приказ ФАС России от 24.06.2022 N 478/22 &quot;О внесении изменений в приказы ФСТ России от 13 июня 2013 г. N 760-э и от 27 декабря 2013 г. N 1746-э&quot; (Зарегистрировано в Минюсте России 05.07.2022 N 69141) {КонсультантПлюс}">
        <w:r>
          <w:rPr>
            <w:sz w:val="20"/>
            <w:color w:val="0000ff"/>
          </w:rPr>
          <w:t xml:space="preserve">Приказом</w:t>
        </w:r>
      </w:hyperlink>
      <w:r>
        <w:rPr>
          <w:sz w:val="20"/>
        </w:rPr>
        <w:t xml:space="preserve"> ФАС России от 24.06.2022 N 478/22)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81"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color w:val="392c69"/>
              </w:rPr>
              <w:t xml:space="preserve"> ФСТ России от 24.11.2014 N 2054-э,</w:t>
            </w:r>
          </w:p>
          <w:p>
            <w:pPr>
              <w:pStyle w:val="0"/>
              <w:jc w:val="center"/>
            </w:pPr>
            <w:hyperlink w:history="0" r:id="rId482"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Приказа</w:t>
              </w:r>
            </w:hyperlink>
            <w:r>
              <w:rPr>
                <w:sz w:val="20"/>
                <w:color w:val="392c69"/>
              </w:rPr>
              <w:t xml:space="preserve"> ФАС России от 08.10.2020 N 976/20)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104" w:name="P1104"/>
    <w:bookmarkEnd w:id="1104"/>
    <w:p>
      <w:pPr>
        <w:pStyle w:val="0"/>
        <w:jc w:val="center"/>
      </w:pPr>
      <w:r>
        <w:rPr>
          <w:sz w:val="20"/>
        </w:rPr>
        <w:t xml:space="preserve">Баланс водоснабжения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граф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5280"/>
        <w:gridCol w:w="1417"/>
        <w:gridCol w:w="782"/>
        <w:gridCol w:w="720"/>
        <w:gridCol w:w="725"/>
        <w:gridCol w:w="719"/>
        <w:gridCol w:w="729"/>
        <w:gridCol w:w="716"/>
        <w:gridCol w:w="864"/>
        <w:gridCol w:w="861"/>
        <w:gridCol w:w="964"/>
      </w:tblGrid>
      <w:tr>
        <w:tc>
          <w:tcPr>
            <w:tcW w:w="1134" w:type="dxa"/>
            <w:vMerge w:val="restart"/>
          </w:tcPr>
          <w:p>
            <w:pPr>
              <w:pStyle w:val="0"/>
              <w:jc w:val="center"/>
            </w:pPr>
            <w:r>
              <w:rPr>
                <w:sz w:val="20"/>
              </w:rPr>
              <w:t xml:space="preserve">N п/п</w:t>
            </w:r>
          </w:p>
        </w:tc>
        <w:tc>
          <w:tcPr>
            <w:tcW w:w="5280" w:type="dxa"/>
            <w:vMerge w:val="restart"/>
          </w:tcPr>
          <w:p>
            <w:pPr>
              <w:pStyle w:val="0"/>
              <w:jc w:val="center"/>
            </w:pPr>
            <w:r>
              <w:rPr>
                <w:sz w:val="20"/>
              </w:rPr>
              <w:t xml:space="preserve">Наименование</w:t>
            </w:r>
          </w:p>
        </w:tc>
        <w:tc>
          <w:tcPr>
            <w:tcW w:w="1417" w:type="dxa"/>
            <w:vMerge w:val="restart"/>
          </w:tcPr>
          <w:p>
            <w:pPr>
              <w:pStyle w:val="0"/>
              <w:jc w:val="center"/>
            </w:pPr>
            <w:r>
              <w:rPr>
                <w:sz w:val="20"/>
              </w:rPr>
              <w:t xml:space="preserve">Единица измерения</w:t>
            </w:r>
          </w:p>
        </w:tc>
        <w:tc>
          <w:tcPr>
            <w:gridSpan w:val="2"/>
            <w:tcW w:w="1502" w:type="dxa"/>
          </w:tcPr>
          <w:p>
            <w:pPr>
              <w:pStyle w:val="0"/>
              <w:jc w:val="center"/>
            </w:pPr>
            <w:r>
              <w:rPr>
                <w:sz w:val="20"/>
              </w:rPr>
              <w:t xml:space="preserve">Истекший год (i-4)</w:t>
            </w:r>
          </w:p>
        </w:tc>
        <w:tc>
          <w:tcPr>
            <w:gridSpan w:val="2"/>
            <w:tcW w:w="1444" w:type="dxa"/>
          </w:tcPr>
          <w:p>
            <w:pPr>
              <w:pStyle w:val="0"/>
              <w:jc w:val="center"/>
            </w:pPr>
            <w:r>
              <w:rPr>
                <w:sz w:val="20"/>
              </w:rPr>
              <w:t xml:space="preserve">Истекший год (i-3)</w:t>
            </w:r>
          </w:p>
        </w:tc>
        <w:tc>
          <w:tcPr>
            <w:gridSpan w:val="2"/>
            <w:tcW w:w="1445" w:type="dxa"/>
          </w:tcPr>
          <w:p>
            <w:pPr>
              <w:pStyle w:val="0"/>
              <w:jc w:val="center"/>
            </w:pPr>
            <w:r>
              <w:rPr>
                <w:sz w:val="20"/>
              </w:rPr>
              <w:t xml:space="preserve">Истекший год (i-2)</w:t>
            </w:r>
          </w:p>
        </w:tc>
        <w:tc>
          <w:tcPr>
            <w:gridSpan w:val="2"/>
            <w:tcW w:w="1725" w:type="dxa"/>
          </w:tcPr>
          <w:p>
            <w:pPr>
              <w:pStyle w:val="0"/>
              <w:jc w:val="center"/>
            </w:pPr>
            <w:r>
              <w:rPr>
                <w:sz w:val="20"/>
              </w:rPr>
              <w:t xml:space="preserve">Текущий год (i-1)</w:t>
            </w:r>
          </w:p>
        </w:tc>
        <w:tc>
          <w:tcPr>
            <w:tcW w:w="964"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782" w:type="dxa"/>
          </w:tcPr>
          <w:p>
            <w:pPr>
              <w:pStyle w:val="0"/>
              <w:jc w:val="center"/>
            </w:pPr>
            <w:r>
              <w:rPr>
                <w:sz w:val="20"/>
              </w:rPr>
              <w:t xml:space="preserve">план</w:t>
            </w:r>
          </w:p>
        </w:tc>
        <w:tc>
          <w:tcPr>
            <w:tcW w:w="720" w:type="dxa"/>
          </w:tcPr>
          <w:p>
            <w:pPr>
              <w:pStyle w:val="0"/>
              <w:jc w:val="center"/>
            </w:pPr>
            <w:r>
              <w:rPr>
                <w:sz w:val="20"/>
              </w:rPr>
              <w:t xml:space="preserve">факт</w:t>
            </w:r>
          </w:p>
        </w:tc>
        <w:tc>
          <w:tcPr>
            <w:tcW w:w="725" w:type="dxa"/>
          </w:tcPr>
          <w:p>
            <w:pPr>
              <w:pStyle w:val="0"/>
              <w:jc w:val="center"/>
            </w:pPr>
            <w:r>
              <w:rPr>
                <w:sz w:val="20"/>
              </w:rPr>
              <w:t xml:space="preserve">план</w:t>
            </w:r>
          </w:p>
        </w:tc>
        <w:tc>
          <w:tcPr>
            <w:tcW w:w="719" w:type="dxa"/>
          </w:tcPr>
          <w:p>
            <w:pPr>
              <w:pStyle w:val="0"/>
              <w:jc w:val="center"/>
            </w:pPr>
            <w:r>
              <w:rPr>
                <w:sz w:val="20"/>
              </w:rPr>
              <w:t xml:space="preserve">факт</w:t>
            </w:r>
          </w:p>
        </w:tc>
        <w:tc>
          <w:tcPr>
            <w:tcW w:w="729" w:type="dxa"/>
          </w:tcPr>
          <w:p>
            <w:pPr>
              <w:pStyle w:val="0"/>
              <w:jc w:val="center"/>
            </w:pPr>
            <w:r>
              <w:rPr>
                <w:sz w:val="20"/>
              </w:rPr>
              <w:t xml:space="preserve">план</w:t>
            </w:r>
          </w:p>
        </w:tc>
        <w:tc>
          <w:tcPr>
            <w:tcW w:w="716" w:type="dxa"/>
          </w:tcPr>
          <w:p>
            <w:pPr>
              <w:pStyle w:val="0"/>
              <w:jc w:val="center"/>
            </w:pPr>
            <w:r>
              <w:rPr>
                <w:sz w:val="20"/>
              </w:rPr>
              <w:t xml:space="preserve">факт</w:t>
            </w:r>
          </w:p>
        </w:tc>
        <w:tc>
          <w:tcPr>
            <w:tcW w:w="864" w:type="dxa"/>
          </w:tcPr>
          <w:p>
            <w:pPr>
              <w:pStyle w:val="0"/>
              <w:jc w:val="center"/>
            </w:pPr>
            <w:r>
              <w:rPr>
                <w:sz w:val="20"/>
              </w:rPr>
              <w:t xml:space="preserve">план</w:t>
            </w:r>
          </w:p>
        </w:tc>
        <w:tc>
          <w:tcPr>
            <w:tcW w:w="861" w:type="dxa"/>
          </w:tcPr>
          <w:p>
            <w:pPr>
              <w:pStyle w:val="0"/>
              <w:jc w:val="center"/>
            </w:pPr>
            <w:r>
              <w:rPr>
                <w:sz w:val="20"/>
              </w:rPr>
              <w:t xml:space="preserve">ожид</w:t>
            </w:r>
          </w:p>
        </w:tc>
        <w:tc>
          <w:tcPr>
            <w:vMerge w:val="continue"/>
          </w:tcPr>
          <w:p/>
        </w:tc>
      </w:tr>
      <w:tr>
        <w:tc>
          <w:tcPr>
            <w:tcW w:w="1134" w:type="dxa"/>
          </w:tcPr>
          <w:p>
            <w:pPr>
              <w:pStyle w:val="0"/>
              <w:jc w:val="center"/>
            </w:pPr>
            <w:r>
              <w:rPr>
                <w:sz w:val="20"/>
              </w:rPr>
              <w:t xml:space="preserve">1</w:t>
            </w:r>
          </w:p>
        </w:tc>
        <w:tc>
          <w:tcPr>
            <w:tcW w:w="5280" w:type="dxa"/>
          </w:tcPr>
          <w:p>
            <w:pPr>
              <w:pStyle w:val="0"/>
              <w:jc w:val="center"/>
            </w:pPr>
            <w:r>
              <w:rPr>
                <w:sz w:val="20"/>
              </w:rPr>
              <w:t xml:space="preserve">2</w:t>
            </w:r>
          </w:p>
        </w:tc>
        <w:tc>
          <w:tcPr>
            <w:tcW w:w="1417" w:type="dxa"/>
          </w:tcPr>
          <w:p>
            <w:pPr>
              <w:pStyle w:val="0"/>
              <w:jc w:val="center"/>
            </w:pPr>
            <w:r>
              <w:rPr>
                <w:sz w:val="20"/>
              </w:rPr>
              <w:t xml:space="preserve">3</w:t>
            </w:r>
          </w:p>
        </w:tc>
        <w:tc>
          <w:tcPr>
            <w:tcW w:w="782" w:type="dxa"/>
          </w:tcPr>
          <w:p>
            <w:pPr>
              <w:pStyle w:val="0"/>
            </w:pPr>
            <w:r>
              <w:rPr>
                <w:sz w:val="20"/>
              </w:rPr>
            </w:r>
          </w:p>
        </w:tc>
        <w:tc>
          <w:tcPr>
            <w:tcW w:w="720" w:type="dxa"/>
          </w:tcPr>
          <w:p>
            <w:pPr>
              <w:pStyle w:val="0"/>
            </w:pPr>
            <w:r>
              <w:rPr>
                <w:sz w:val="20"/>
              </w:rPr>
            </w:r>
          </w:p>
        </w:tc>
        <w:tc>
          <w:tcPr>
            <w:tcW w:w="725" w:type="dxa"/>
          </w:tcPr>
          <w:p>
            <w:pPr>
              <w:pStyle w:val="0"/>
              <w:jc w:val="center"/>
            </w:pPr>
            <w:r>
              <w:rPr>
                <w:sz w:val="20"/>
              </w:rPr>
              <w:t xml:space="preserve">4</w:t>
            </w:r>
          </w:p>
        </w:tc>
        <w:tc>
          <w:tcPr>
            <w:tcW w:w="719" w:type="dxa"/>
          </w:tcPr>
          <w:p>
            <w:pPr>
              <w:pStyle w:val="0"/>
              <w:jc w:val="center"/>
            </w:pPr>
            <w:r>
              <w:rPr>
                <w:sz w:val="20"/>
              </w:rPr>
              <w:t xml:space="preserve">5</w:t>
            </w:r>
          </w:p>
        </w:tc>
        <w:tc>
          <w:tcPr>
            <w:tcW w:w="729" w:type="dxa"/>
          </w:tcPr>
          <w:p>
            <w:pPr>
              <w:pStyle w:val="0"/>
              <w:jc w:val="center"/>
            </w:pPr>
            <w:r>
              <w:rPr>
                <w:sz w:val="20"/>
              </w:rPr>
              <w:t xml:space="preserve">4</w:t>
            </w:r>
          </w:p>
        </w:tc>
        <w:tc>
          <w:tcPr>
            <w:tcW w:w="716" w:type="dxa"/>
          </w:tcPr>
          <w:p>
            <w:pPr>
              <w:pStyle w:val="0"/>
              <w:jc w:val="center"/>
            </w:pPr>
            <w:r>
              <w:rPr>
                <w:sz w:val="20"/>
              </w:rPr>
              <w:t xml:space="preserve">6</w:t>
            </w:r>
          </w:p>
        </w:tc>
        <w:tc>
          <w:tcPr>
            <w:tcW w:w="864" w:type="dxa"/>
          </w:tcPr>
          <w:p>
            <w:pPr>
              <w:pStyle w:val="0"/>
              <w:jc w:val="center"/>
            </w:pPr>
            <w:r>
              <w:rPr>
                <w:sz w:val="20"/>
              </w:rPr>
              <w:t xml:space="preserve">7</w:t>
            </w:r>
          </w:p>
        </w:tc>
        <w:tc>
          <w:tcPr>
            <w:tcW w:w="861" w:type="dxa"/>
          </w:tcPr>
          <w:p>
            <w:pPr>
              <w:pStyle w:val="0"/>
              <w:jc w:val="center"/>
            </w:pPr>
            <w:r>
              <w:rPr>
                <w:sz w:val="20"/>
              </w:rPr>
              <w:t xml:space="preserve">8</w:t>
            </w:r>
          </w:p>
        </w:tc>
        <w:tc>
          <w:tcPr>
            <w:tcW w:w="964" w:type="dxa"/>
          </w:tcPr>
          <w:p>
            <w:pPr>
              <w:pStyle w:val="0"/>
              <w:jc w:val="center"/>
            </w:pPr>
            <w:r>
              <w:rPr>
                <w:sz w:val="20"/>
              </w:rPr>
              <w:t xml:space="preserve">9</w:t>
            </w:r>
          </w:p>
        </w:tc>
      </w:tr>
      <w:tr>
        <w:tc>
          <w:tcPr>
            <w:tcW w:w="1134" w:type="dxa"/>
            <w:vAlign w:val="center"/>
          </w:tcPr>
          <w:p>
            <w:pPr>
              <w:pStyle w:val="0"/>
              <w:outlineLvl w:val="2"/>
            </w:pPr>
            <w:r>
              <w:rPr>
                <w:sz w:val="20"/>
              </w:rPr>
              <w:t xml:space="preserve">1</w:t>
            </w:r>
          </w:p>
        </w:tc>
        <w:tc>
          <w:tcPr>
            <w:tcW w:w="5280" w:type="dxa"/>
          </w:tcPr>
          <w:p>
            <w:pPr>
              <w:pStyle w:val="0"/>
            </w:pPr>
            <w:r>
              <w:rPr>
                <w:sz w:val="20"/>
              </w:rPr>
              <w:t xml:space="preserve">Водоподготовка</w:t>
            </w:r>
          </w:p>
        </w:tc>
        <w:tc>
          <w:tcPr>
            <w:tcW w:w="1417" w:type="dxa"/>
            <w:vAlign w:val="center"/>
          </w:tcPr>
          <w:p>
            <w:pPr>
              <w:pStyle w:val="0"/>
            </w:pPr>
            <w:r>
              <w:rPr>
                <w:sz w:val="20"/>
              </w:rPr>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1.1</w:t>
            </w:r>
          </w:p>
        </w:tc>
        <w:tc>
          <w:tcPr>
            <w:tcW w:w="5280" w:type="dxa"/>
          </w:tcPr>
          <w:p>
            <w:pPr>
              <w:pStyle w:val="0"/>
              <w:ind w:left="126"/>
              <w:jc w:val="both"/>
            </w:pPr>
            <w:r>
              <w:rPr>
                <w:sz w:val="20"/>
              </w:rPr>
              <w:t xml:space="preserve">Объем воды из источников водоснабжения:</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1.1.1</w:t>
            </w:r>
          </w:p>
        </w:tc>
        <w:tc>
          <w:tcPr>
            <w:tcW w:w="5280" w:type="dxa"/>
          </w:tcPr>
          <w:p>
            <w:pPr>
              <w:pStyle w:val="0"/>
              <w:ind w:firstLine="540"/>
              <w:jc w:val="both"/>
            </w:pPr>
            <w:r>
              <w:rPr>
                <w:sz w:val="20"/>
              </w:rPr>
              <w:t xml:space="preserve">из поверхностных источников</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1.1.2</w:t>
            </w:r>
          </w:p>
        </w:tc>
        <w:tc>
          <w:tcPr>
            <w:tcW w:w="5280" w:type="dxa"/>
          </w:tcPr>
          <w:p>
            <w:pPr>
              <w:pStyle w:val="0"/>
              <w:ind w:firstLine="540"/>
              <w:jc w:val="both"/>
            </w:pPr>
            <w:r>
              <w:rPr>
                <w:sz w:val="20"/>
              </w:rPr>
              <w:t xml:space="preserve">из подземных источников</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1.1.3</w:t>
            </w:r>
          </w:p>
        </w:tc>
        <w:tc>
          <w:tcPr>
            <w:tcW w:w="5280" w:type="dxa"/>
          </w:tcPr>
          <w:p>
            <w:pPr>
              <w:pStyle w:val="0"/>
              <w:ind w:firstLine="540"/>
            </w:pPr>
            <w:r>
              <w:rPr>
                <w:sz w:val="20"/>
              </w:rPr>
              <w:t xml:space="preserve">доочищенная сточная вода для нужд технического водоснабжения</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1.2</w:t>
            </w:r>
          </w:p>
        </w:tc>
        <w:tc>
          <w:tcPr>
            <w:tcW w:w="5280" w:type="dxa"/>
          </w:tcPr>
          <w:p>
            <w:pPr>
              <w:pStyle w:val="0"/>
              <w:ind w:left="126"/>
              <w:jc w:val="both"/>
            </w:pPr>
            <w:r>
              <w:rPr>
                <w:sz w:val="20"/>
              </w:rPr>
              <w:t xml:space="preserve">Объем воды, прошедшей водоподготовку</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1.3</w:t>
            </w:r>
          </w:p>
        </w:tc>
        <w:tc>
          <w:tcPr>
            <w:tcW w:w="5280" w:type="dxa"/>
          </w:tcPr>
          <w:p>
            <w:pPr>
              <w:pStyle w:val="0"/>
              <w:ind w:left="126"/>
              <w:jc w:val="both"/>
            </w:pPr>
            <w:r>
              <w:rPr>
                <w:sz w:val="20"/>
              </w:rPr>
              <w:t xml:space="preserve">Объем технической воды, поданной в сеть</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1.4</w:t>
            </w:r>
          </w:p>
        </w:tc>
        <w:tc>
          <w:tcPr>
            <w:tcW w:w="5280" w:type="dxa"/>
          </w:tcPr>
          <w:p>
            <w:pPr>
              <w:pStyle w:val="0"/>
              <w:ind w:left="126"/>
              <w:jc w:val="both"/>
            </w:pPr>
            <w:r>
              <w:rPr>
                <w:sz w:val="20"/>
              </w:rPr>
              <w:t xml:space="preserve">Объем питьевой воды, поданной в сеть</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outlineLvl w:val="2"/>
            </w:pPr>
            <w:r>
              <w:rPr>
                <w:sz w:val="20"/>
              </w:rPr>
              <w:t xml:space="preserve">2</w:t>
            </w:r>
          </w:p>
        </w:tc>
        <w:tc>
          <w:tcPr>
            <w:tcW w:w="5280" w:type="dxa"/>
          </w:tcPr>
          <w:p>
            <w:pPr>
              <w:pStyle w:val="0"/>
            </w:pPr>
            <w:r>
              <w:rPr>
                <w:sz w:val="20"/>
              </w:rPr>
              <w:t xml:space="preserve">Приготовление горячей воды</w:t>
            </w:r>
          </w:p>
        </w:tc>
        <w:tc>
          <w:tcPr>
            <w:tcW w:w="1417" w:type="dxa"/>
            <w:vAlign w:val="center"/>
          </w:tcPr>
          <w:p>
            <w:pPr>
              <w:pStyle w:val="0"/>
            </w:pPr>
            <w:r>
              <w:rPr>
                <w:sz w:val="20"/>
              </w:rPr>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2.1</w:t>
            </w:r>
          </w:p>
        </w:tc>
        <w:tc>
          <w:tcPr>
            <w:tcW w:w="5280" w:type="dxa"/>
          </w:tcPr>
          <w:p>
            <w:pPr>
              <w:pStyle w:val="0"/>
            </w:pPr>
            <w:r>
              <w:rPr>
                <w:sz w:val="20"/>
              </w:rPr>
              <w:t xml:space="preserve">Объем воды из собственных источников</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2.2</w:t>
            </w:r>
          </w:p>
        </w:tc>
        <w:tc>
          <w:tcPr>
            <w:tcW w:w="5280" w:type="dxa"/>
          </w:tcPr>
          <w:p>
            <w:pPr>
              <w:pStyle w:val="0"/>
            </w:pPr>
            <w:r>
              <w:rPr>
                <w:sz w:val="20"/>
              </w:rPr>
              <w:t xml:space="preserve">Объем приобретенной питьевой воды</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2.3</w:t>
            </w:r>
          </w:p>
        </w:tc>
        <w:tc>
          <w:tcPr>
            <w:tcW w:w="5280" w:type="dxa"/>
          </w:tcPr>
          <w:p>
            <w:pPr>
              <w:pStyle w:val="0"/>
            </w:pPr>
            <w:r>
              <w:rPr>
                <w:sz w:val="20"/>
              </w:rPr>
              <w:t xml:space="preserve">Объем горячей воды, поданной в сеть</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outlineLvl w:val="2"/>
            </w:pPr>
            <w:r>
              <w:rPr>
                <w:sz w:val="20"/>
              </w:rPr>
              <w:t xml:space="preserve">3</w:t>
            </w:r>
          </w:p>
        </w:tc>
        <w:tc>
          <w:tcPr>
            <w:tcW w:w="5280" w:type="dxa"/>
          </w:tcPr>
          <w:p>
            <w:pPr>
              <w:pStyle w:val="0"/>
              <w:ind w:left="306"/>
            </w:pPr>
            <w:r>
              <w:rPr>
                <w:sz w:val="20"/>
              </w:rPr>
              <w:t xml:space="preserve">Транспортировка питьевой воды</w:t>
            </w:r>
          </w:p>
        </w:tc>
        <w:tc>
          <w:tcPr>
            <w:tcW w:w="1417" w:type="dxa"/>
            <w:vAlign w:val="center"/>
          </w:tcPr>
          <w:p>
            <w:pPr>
              <w:pStyle w:val="0"/>
            </w:pPr>
            <w:r>
              <w:rPr>
                <w:sz w:val="20"/>
              </w:rPr>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3.1</w:t>
            </w:r>
          </w:p>
        </w:tc>
        <w:tc>
          <w:tcPr>
            <w:tcW w:w="5280" w:type="dxa"/>
          </w:tcPr>
          <w:p>
            <w:pPr>
              <w:pStyle w:val="0"/>
              <w:ind w:left="126"/>
              <w:jc w:val="both"/>
            </w:pPr>
            <w:r>
              <w:rPr>
                <w:sz w:val="20"/>
              </w:rPr>
              <w:t xml:space="preserve">Объем воды, поступившей в сеть:</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3.1.1</w:t>
            </w:r>
          </w:p>
        </w:tc>
        <w:tc>
          <w:tcPr>
            <w:tcW w:w="5280" w:type="dxa"/>
          </w:tcPr>
          <w:p>
            <w:pPr>
              <w:pStyle w:val="0"/>
              <w:ind w:firstLine="540"/>
              <w:jc w:val="both"/>
            </w:pPr>
            <w:r>
              <w:rPr>
                <w:sz w:val="20"/>
              </w:rPr>
              <w:t xml:space="preserve">из собственных источников</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3.1.2</w:t>
            </w:r>
          </w:p>
        </w:tc>
        <w:tc>
          <w:tcPr>
            <w:tcW w:w="5280" w:type="dxa"/>
          </w:tcPr>
          <w:p>
            <w:pPr>
              <w:pStyle w:val="0"/>
              <w:ind w:firstLine="540"/>
              <w:jc w:val="both"/>
            </w:pPr>
            <w:r>
              <w:rPr>
                <w:sz w:val="20"/>
              </w:rPr>
              <w:t xml:space="preserve">от других операторов</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3.1.3</w:t>
            </w:r>
          </w:p>
        </w:tc>
        <w:tc>
          <w:tcPr>
            <w:tcW w:w="5280" w:type="dxa"/>
          </w:tcPr>
          <w:p>
            <w:pPr>
              <w:pStyle w:val="0"/>
              <w:ind w:firstLine="540"/>
            </w:pPr>
            <w:r>
              <w:rPr>
                <w:sz w:val="20"/>
              </w:rPr>
              <w:t xml:space="preserve">получено от других территорий, дифференцированных по тарифу</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3.2</w:t>
            </w:r>
          </w:p>
        </w:tc>
        <w:tc>
          <w:tcPr>
            <w:tcW w:w="5280" w:type="dxa"/>
          </w:tcPr>
          <w:p>
            <w:pPr>
              <w:pStyle w:val="0"/>
              <w:ind w:left="126"/>
              <w:jc w:val="both"/>
            </w:pPr>
            <w:r>
              <w:rPr>
                <w:sz w:val="20"/>
              </w:rPr>
              <w:t xml:space="preserve">Потери воды</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3.3</w:t>
            </w:r>
          </w:p>
        </w:tc>
        <w:tc>
          <w:tcPr>
            <w:tcW w:w="5280" w:type="dxa"/>
          </w:tcPr>
          <w:p>
            <w:pPr>
              <w:pStyle w:val="0"/>
              <w:ind w:left="126"/>
              <w:jc w:val="both"/>
            </w:pPr>
            <w:r>
              <w:rPr>
                <w:sz w:val="20"/>
              </w:rPr>
              <w:t xml:space="preserve">Потребление на собственные нужды</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3.4</w:t>
            </w:r>
          </w:p>
        </w:tc>
        <w:tc>
          <w:tcPr>
            <w:tcW w:w="5280" w:type="dxa"/>
          </w:tcPr>
          <w:p>
            <w:pPr>
              <w:pStyle w:val="0"/>
              <w:ind w:left="126"/>
              <w:jc w:val="both"/>
            </w:pPr>
            <w:r>
              <w:rPr>
                <w:sz w:val="20"/>
              </w:rPr>
              <w:t xml:space="preserve">Объем воды, отпущенной из сети</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3.5</w:t>
            </w:r>
          </w:p>
        </w:tc>
        <w:tc>
          <w:tcPr>
            <w:tcW w:w="5280" w:type="dxa"/>
          </w:tcPr>
          <w:p>
            <w:pPr>
              <w:pStyle w:val="0"/>
            </w:pPr>
            <w:r>
              <w:rPr>
                <w:sz w:val="20"/>
              </w:rPr>
              <w:t xml:space="preserve">Передано на другие территории, дифференцированные по тарифу</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outlineLvl w:val="2"/>
            </w:pPr>
            <w:r>
              <w:rPr>
                <w:sz w:val="20"/>
              </w:rPr>
              <w:t xml:space="preserve">4</w:t>
            </w:r>
          </w:p>
        </w:tc>
        <w:tc>
          <w:tcPr>
            <w:tcW w:w="5280" w:type="dxa"/>
          </w:tcPr>
          <w:p>
            <w:pPr>
              <w:pStyle w:val="0"/>
            </w:pPr>
            <w:r>
              <w:rPr>
                <w:sz w:val="20"/>
              </w:rPr>
              <w:t xml:space="preserve">Транспортировка технической воды</w:t>
            </w:r>
          </w:p>
        </w:tc>
        <w:tc>
          <w:tcPr>
            <w:tcW w:w="1417" w:type="dxa"/>
            <w:vAlign w:val="center"/>
          </w:tcPr>
          <w:p>
            <w:pPr>
              <w:pStyle w:val="0"/>
            </w:pPr>
            <w:r>
              <w:rPr>
                <w:sz w:val="20"/>
              </w:rPr>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4.1</w:t>
            </w:r>
          </w:p>
        </w:tc>
        <w:tc>
          <w:tcPr>
            <w:tcW w:w="5280" w:type="dxa"/>
          </w:tcPr>
          <w:p>
            <w:pPr>
              <w:pStyle w:val="0"/>
              <w:ind w:left="126"/>
              <w:jc w:val="both"/>
            </w:pPr>
            <w:r>
              <w:rPr>
                <w:sz w:val="20"/>
              </w:rPr>
              <w:t xml:space="preserve">Объем воды, поступившей в сеть</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4.2</w:t>
            </w:r>
          </w:p>
        </w:tc>
        <w:tc>
          <w:tcPr>
            <w:tcW w:w="5280" w:type="dxa"/>
          </w:tcPr>
          <w:p>
            <w:pPr>
              <w:pStyle w:val="0"/>
              <w:ind w:left="126"/>
              <w:jc w:val="both"/>
            </w:pPr>
            <w:r>
              <w:rPr>
                <w:sz w:val="20"/>
              </w:rPr>
              <w:t xml:space="preserve">Потери воды</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4.3</w:t>
            </w:r>
          </w:p>
        </w:tc>
        <w:tc>
          <w:tcPr>
            <w:tcW w:w="5280" w:type="dxa"/>
          </w:tcPr>
          <w:p>
            <w:pPr>
              <w:pStyle w:val="0"/>
              <w:ind w:left="126"/>
              <w:jc w:val="both"/>
            </w:pPr>
            <w:r>
              <w:rPr>
                <w:sz w:val="20"/>
              </w:rPr>
              <w:t xml:space="preserve">Потребление на собственные нужды</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4.4</w:t>
            </w:r>
          </w:p>
        </w:tc>
        <w:tc>
          <w:tcPr>
            <w:tcW w:w="5280" w:type="dxa"/>
          </w:tcPr>
          <w:p>
            <w:pPr>
              <w:pStyle w:val="0"/>
              <w:ind w:left="126"/>
              <w:jc w:val="both"/>
            </w:pPr>
            <w:r>
              <w:rPr>
                <w:sz w:val="20"/>
              </w:rPr>
              <w:t xml:space="preserve">Объем воды, отпущенной из сети</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outlineLvl w:val="2"/>
            </w:pPr>
            <w:r>
              <w:rPr>
                <w:sz w:val="20"/>
              </w:rPr>
              <w:t xml:space="preserve">5</w:t>
            </w:r>
          </w:p>
        </w:tc>
        <w:tc>
          <w:tcPr>
            <w:tcW w:w="5280" w:type="dxa"/>
          </w:tcPr>
          <w:p>
            <w:pPr>
              <w:pStyle w:val="0"/>
            </w:pPr>
            <w:r>
              <w:rPr>
                <w:sz w:val="20"/>
              </w:rPr>
              <w:t xml:space="preserve">Транспортировка горячей воды</w:t>
            </w:r>
          </w:p>
        </w:tc>
        <w:tc>
          <w:tcPr>
            <w:tcW w:w="1417" w:type="dxa"/>
            <w:vAlign w:val="center"/>
          </w:tcPr>
          <w:p>
            <w:pPr>
              <w:pStyle w:val="0"/>
            </w:pPr>
            <w:r>
              <w:rPr>
                <w:sz w:val="20"/>
              </w:rPr>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5.1</w:t>
            </w:r>
          </w:p>
        </w:tc>
        <w:tc>
          <w:tcPr>
            <w:tcW w:w="5280" w:type="dxa"/>
          </w:tcPr>
          <w:p>
            <w:pPr>
              <w:pStyle w:val="0"/>
              <w:ind w:left="126"/>
              <w:jc w:val="both"/>
            </w:pPr>
            <w:r>
              <w:rPr>
                <w:sz w:val="20"/>
              </w:rPr>
              <w:t xml:space="preserve">Объем воды, поступившей в сеть</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5.2</w:t>
            </w:r>
          </w:p>
        </w:tc>
        <w:tc>
          <w:tcPr>
            <w:tcW w:w="5280" w:type="dxa"/>
          </w:tcPr>
          <w:p>
            <w:pPr>
              <w:pStyle w:val="0"/>
              <w:ind w:left="126"/>
              <w:jc w:val="both"/>
            </w:pPr>
            <w:r>
              <w:rPr>
                <w:sz w:val="20"/>
              </w:rPr>
              <w:t xml:space="preserve">Потери воды</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5.3</w:t>
            </w:r>
          </w:p>
        </w:tc>
        <w:tc>
          <w:tcPr>
            <w:tcW w:w="5280" w:type="dxa"/>
          </w:tcPr>
          <w:p>
            <w:pPr>
              <w:pStyle w:val="0"/>
              <w:ind w:left="126"/>
              <w:jc w:val="both"/>
            </w:pPr>
            <w:r>
              <w:rPr>
                <w:sz w:val="20"/>
              </w:rPr>
              <w:t xml:space="preserve">Потребление на собственные нужды</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5.4</w:t>
            </w:r>
          </w:p>
        </w:tc>
        <w:tc>
          <w:tcPr>
            <w:tcW w:w="5280" w:type="dxa"/>
          </w:tcPr>
          <w:p>
            <w:pPr>
              <w:pStyle w:val="0"/>
              <w:ind w:left="126"/>
              <w:jc w:val="both"/>
            </w:pPr>
            <w:r>
              <w:rPr>
                <w:sz w:val="20"/>
              </w:rPr>
              <w:t xml:space="preserve">Объем воды, отпущенной из сети</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outlineLvl w:val="2"/>
            </w:pPr>
            <w:r>
              <w:rPr>
                <w:sz w:val="20"/>
              </w:rPr>
              <w:t xml:space="preserve">6</w:t>
            </w:r>
          </w:p>
        </w:tc>
        <w:tc>
          <w:tcPr>
            <w:tcW w:w="5280" w:type="dxa"/>
          </w:tcPr>
          <w:p>
            <w:pPr>
              <w:pStyle w:val="0"/>
            </w:pPr>
            <w:r>
              <w:rPr>
                <w:sz w:val="20"/>
              </w:rPr>
              <w:t xml:space="preserve">Отпуск питьевой воды</w:t>
            </w:r>
          </w:p>
        </w:tc>
        <w:tc>
          <w:tcPr>
            <w:tcW w:w="1417" w:type="dxa"/>
            <w:vAlign w:val="center"/>
          </w:tcPr>
          <w:p>
            <w:pPr>
              <w:pStyle w:val="0"/>
            </w:pPr>
            <w:r>
              <w:rPr>
                <w:sz w:val="20"/>
              </w:rPr>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6.1</w:t>
            </w:r>
          </w:p>
        </w:tc>
        <w:tc>
          <w:tcPr>
            <w:tcW w:w="5280" w:type="dxa"/>
          </w:tcPr>
          <w:p>
            <w:pPr>
              <w:pStyle w:val="0"/>
              <w:ind w:left="126"/>
              <w:jc w:val="both"/>
            </w:pPr>
            <w:r>
              <w:rPr>
                <w:sz w:val="20"/>
              </w:rPr>
              <w:t xml:space="preserve">Объем воды, отпущенной абонентам: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6.1.1</w:t>
            </w:r>
          </w:p>
        </w:tc>
        <w:tc>
          <w:tcPr>
            <w:tcW w:w="5280" w:type="dxa"/>
          </w:tcPr>
          <w:p>
            <w:pPr>
              <w:pStyle w:val="0"/>
              <w:ind w:firstLine="540"/>
              <w:jc w:val="both"/>
            </w:pPr>
            <w:r>
              <w:rPr>
                <w:sz w:val="20"/>
              </w:rPr>
              <w:t xml:space="preserve">по приборам учета</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6.1.2</w:t>
            </w:r>
          </w:p>
        </w:tc>
        <w:tc>
          <w:tcPr>
            <w:tcW w:w="5280" w:type="dxa"/>
          </w:tcPr>
          <w:p>
            <w:pPr>
              <w:pStyle w:val="0"/>
              <w:ind w:firstLine="540"/>
              <w:jc w:val="both"/>
            </w:pPr>
            <w:r>
              <w:rPr>
                <w:sz w:val="20"/>
              </w:rPr>
              <w:t xml:space="preserve">по нормативам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6.2</w:t>
            </w:r>
          </w:p>
        </w:tc>
        <w:tc>
          <w:tcPr>
            <w:tcW w:w="5280" w:type="dxa"/>
          </w:tcPr>
          <w:p>
            <w:pPr>
              <w:pStyle w:val="0"/>
              <w:ind w:firstLine="306"/>
              <w:jc w:val="both"/>
            </w:pPr>
            <w:r>
              <w:rPr>
                <w:sz w:val="20"/>
              </w:rPr>
              <w:t xml:space="preserve">для приготовления горячей воды</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6.3</w:t>
            </w:r>
          </w:p>
        </w:tc>
        <w:tc>
          <w:tcPr>
            <w:tcW w:w="5280" w:type="dxa"/>
          </w:tcPr>
          <w:p>
            <w:pPr>
              <w:pStyle w:val="0"/>
              <w:ind w:firstLine="306"/>
              <w:jc w:val="both"/>
            </w:pPr>
            <w:r>
              <w:rPr>
                <w:sz w:val="20"/>
              </w:rPr>
              <w:t xml:space="preserve">при дифференциации тарифов по объему</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6.3.1</w:t>
            </w:r>
          </w:p>
        </w:tc>
        <w:tc>
          <w:tcPr>
            <w:tcW w:w="5280" w:type="dxa"/>
          </w:tcPr>
          <w:p>
            <w:pPr>
              <w:pStyle w:val="0"/>
              <w:ind w:firstLine="540"/>
              <w:jc w:val="both"/>
            </w:pPr>
            <w:r>
              <w:rPr>
                <w:sz w:val="20"/>
              </w:rPr>
              <w:t xml:space="preserve">в пределах i-го объема</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6.4</w:t>
            </w:r>
          </w:p>
        </w:tc>
        <w:tc>
          <w:tcPr>
            <w:tcW w:w="5280" w:type="dxa"/>
          </w:tcPr>
          <w:p>
            <w:pPr>
              <w:pStyle w:val="0"/>
              <w:ind w:firstLine="306"/>
              <w:jc w:val="both"/>
            </w:pPr>
            <w:r>
              <w:rPr>
                <w:sz w:val="20"/>
              </w:rPr>
              <w:t xml:space="preserve">По абонентам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6.4.1</w:t>
            </w:r>
          </w:p>
        </w:tc>
        <w:tc>
          <w:tcPr>
            <w:tcW w:w="5280" w:type="dxa"/>
          </w:tcPr>
          <w:p>
            <w:pPr>
              <w:pStyle w:val="0"/>
              <w:ind w:firstLine="540"/>
            </w:pPr>
            <w:r>
              <w:rPr>
                <w:sz w:val="20"/>
              </w:rPr>
              <w:t xml:space="preserve">другим организациям, осуществляющим водоснабжение</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6.4.1.1</w:t>
            </w:r>
          </w:p>
        </w:tc>
        <w:tc>
          <w:tcPr>
            <w:tcW w:w="5280" w:type="dxa"/>
          </w:tcPr>
          <w:p>
            <w:pPr>
              <w:pStyle w:val="0"/>
              <w:ind w:firstLine="846"/>
              <w:jc w:val="both"/>
            </w:pPr>
            <w:r>
              <w:rPr>
                <w:sz w:val="20"/>
              </w:rPr>
              <w:t xml:space="preserve">организация 1</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6.4.1.2</w:t>
            </w:r>
          </w:p>
        </w:tc>
        <w:tc>
          <w:tcPr>
            <w:tcW w:w="5280" w:type="dxa"/>
          </w:tcPr>
          <w:p>
            <w:pPr>
              <w:pStyle w:val="0"/>
              <w:ind w:firstLine="846"/>
              <w:jc w:val="both"/>
            </w:pPr>
            <w:r>
              <w:rPr>
                <w:sz w:val="20"/>
              </w:rPr>
              <w:t xml:space="preserve">организация 2</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6.4.1.n</w:t>
            </w:r>
          </w:p>
        </w:tc>
        <w:tc>
          <w:tcPr>
            <w:tcW w:w="5280" w:type="dxa"/>
          </w:tcPr>
          <w:p>
            <w:pPr>
              <w:pStyle w:val="0"/>
              <w:ind w:firstLine="846"/>
              <w:jc w:val="both"/>
            </w:pPr>
            <w:r>
              <w:rPr>
                <w:sz w:val="20"/>
              </w:rPr>
              <w:t xml:space="preserve">организация n</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6.4.2</w:t>
            </w:r>
          </w:p>
        </w:tc>
        <w:tc>
          <w:tcPr>
            <w:tcW w:w="5280" w:type="dxa"/>
          </w:tcPr>
          <w:p>
            <w:pPr>
              <w:pStyle w:val="0"/>
              <w:ind w:firstLine="540"/>
              <w:jc w:val="both"/>
            </w:pPr>
            <w:r>
              <w:rPr>
                <w:sz w:val="20"/>
              </w:rPr>
              <w:t xml:space="preserve">собственным абонентам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outlineLvl w:val="2"/>
            </w:pPr>
            <w:r>
              <w:rPr>
                <w:sz w:val="20"/>
              </w:rPr>
              <w:t xml:space="preserve">7</w:t>
            </w:r>
          </w:p>
        </w:tc>
        <w:tc>
          <w:tcPr>
            <w:tcW w:w="5280" w:type="dxa"/>
          </w:tcPr>
          <w:p>
            <w:pPr>
              <w:pStyle w:val="0"/>
            </w:pPr>
            <w:r>
              <w:rPr>
                <w:sz w:val="20"/>
              </w:rPr>
              <w:t xml:space="preserve">Отпуск технической воды</w:t>
            </w:r>
          </w:p>
        </w:tc>
        <w:tc>
          <w:tcPr>
            <w:tcW w:w="1417" w:type="dxa"/>
            <w:vAlign w:val="center"/>
          </w:tcPr>
          <w:p>
            <w:pPr>
              <w:pStyle w:val="0"/>
            </w:pPr>
            <w:r>
              <w:rPr>
                <w:sz w:val="20"/>
              </w:rPr>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7.1</w:t>
            </w:r>
          </w:p>
        </w:tc>
        <w:tc>
          <w:tcPr>
            <w:tcW w:w="5280" w:type="dxa"/>
          </w:tcPr>
          <w:p>
            <w:pPr>
              <w:pStyle w:val="0"/>
              <w:ind w:firstLine="126"/>
              <w:jc w:val="both"/>
            </w:pPr>
            <w:r>
              <w:rPr>
                <w:sz w:val="20"/>
              </w:rPr>
              <w:t xml:space="preserve">Объем воды, отпущенной абонентам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7.2</w:t>
            </w:r>
          </w:p>
        </w:tc>
        <w:tc>
          <w:tcPr>
            <w:tcW w:w="5280" w:type="dxa"/>
          </w:tcPr>
          <w:p>
            <w:pPr>
              <w:pStyle w:val="0"/>
              <w:ind w:firstLine="126"/>
              <w:jc w:val="both"/>
            </w:pPr>
            <w:r>
              <w:rPr>
                <w:sz w:val="20"/>
              </w:rPr>
              <w:t xml:space="preserve">при дифференциации тарифов по объему</w:t>
            </w:r>
          </w:p>
        </w:tc>
        <w:tc>
          <w:tcPr>
            <w:tcW w:w="1417" w:type="dxa"/>
            <w:vAlign w:val="center"/>
          </w:tcPr>
          <w:p>
            <w:pPr>
              <w:pStyle w:val="0"/>
            </w:pPr>
            <w:r>
              <w:rPr>
                <w:sz w:val="20"/>
              </w:rPr>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7.2.1</w:t>
            </w:r>
          </w:p>
        </w:tc>
        <w:tc>
          <w:tcPr>
            <w:tcW w:w="5280" w:type="dxa"/>
          </w:tcPr>
          <w:p>
            <w:pPr>
              <w:pStyle w:val="0"/>
              <w:ind w:firstLine="540"/>
              <w:jc w:val="both"/>
            </w:pPr>
            <w:r>
              <w:rPr>
                <w:sz w:val="20"/>
              </w:rPr>
              <w:t xml:space="preserve">в пределах i-го объема</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7.3</w:t>
            </w:r>
          </w:p>
        </w:tc>
        <w:tc>
          <w:tcPr>
            <w:tcW w:w="5280" w:type="dxa"/>
          </w:tcPr>
          <w:p>
            <w:pPr>
              <w:pStyle w:val="0"/>
              <w:ind w:firstLine="126"/>
              <w:jc w:val="both"/>
            </w:pPr>
            <w:r>
              <w:rPr>
                <w:sz w:val="20"/>
              </w:rPr>
              <w:t xml:space="preserve">По абонентам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7.3.1</w:t>
            </w:r>
          </w:p>
        </w:tc>
        <w:tc>
          <w:tcPr>
            <w:tcW w:w="5280" w:type="dxa"/>
          </w:tcPr>
          <w:p>
            <w:pPr>
              <w:pStyle w:val="0"/>
              <w:ind w:firstLine="540"/>
            </w:pPr>
            <w:r>
              <w:rPr>
                <w:sz w:val="20"/>
              </w:rPr>
              <w:t xml:space="preserve">другим организациям, осуществляющим водоснабжение</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7.3.1.1</w:t>
            </w:r>
          </w:p>
        </w:tc>
        <w:tc>
          <w:tcPr>
            <w:tcW w:w="5280" w:type="dxa"/>
          </w:tcPr>
          <w:p>
            <w:pPr>
              <w:pStyle w:val="0"/>
              <w:ind w:firstLine="846"/>
              <w:jc w:val="both"/>
            </w:pPr>
            <w:r>
              <w:rPr>
                <w:sz w:val="20"/>
              </w:rPr>
              <w:t xml:space="preserve">организация 1</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7.3.1.2</w:t>
            </w:r>
          </w:p>
        </w:tc>
        <w:tc>
          <w:tcPr>
            <w:tcW w:w="5280" w:type="dxa"/>
          </w:tcPr>
          <w:p>
            <w:pPr>
              <w:pStyle w:val="0"/>
              <w:ind w:firstLine="846"/>
              <w:jc w:val="both"/>
            </w:pPr>
            <w:r>
              <w:rPr>
                <w:sz w:val="20"/>
              </w:rPr>
              <w:t xml:space="preserve">организация 2</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7.3.1.n</w:t>
            </w:r>
          </w:p>
        </w:tc>
        <w:tc>
          <w:tcPr>
            <w:tcW w:w="5280" w:type="dxa"/>
          </w:tcPr>
          <w:p>
            <w:pPr>
              <w:pStyle w:val="0"/>
              <w:ind w:firstLine="846"/>
              <w:jc w:val="both"/>
            </w:pPr>
            <w:r>
              <w:rPr>
                <w:sz w:val="20"/>
              </w:rPr>
              <w:t xml:space="preserve">организация n</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7.3.2</w:t>
            </w:r>
          </w:p>
        </w:tc>
        <w:tc>
          <w:tcPr>
            <w:tcW w:w="5280" w:type="dxa"/>
          </w:tcPr>
          <w:p>
            <w:pPr>
              <w:pStyle w:val="0"/>
              <w:ind w:firstLine="540"/>
              <w:jc w:val="both"/>
            </w:pPr>
            <w:r>
              <w:rPr>
                <w:sz w:val="20"/>
              </w:rPr>
              <w:t xml:space="preserve">собственным абонентам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outlineLvl w:val="2"/>
            </w:pPr>
            <w:r>
              <w:rPr>
                <w:sz w:val="20"/>
              </w:rPr>
              <w:t xml:space="preserve">8</w:t>
            </w:r>
          </w:p>
        </w:tc>
        <w:tc>
          <w:tcPr>
            <w:tcW w:w="5280" w:type="dxa"/>
          </w:tcPr>
          <w:p>
            <w:pPr>
              <w:pStyle w:val="0"/>
            </w:pPr>
            <w:r>
              <w:rPr>
                <w:sz w:val="20"/>
              </w:rPr>
              <w:t xml:space="preserve">Отпуск горячей воды</w:t>
            </w:r>
          </w:p>
        </w:tc>
        <w:tc>
          <w:tcPr>
            <w:tcW w:w="1417" w:type="dxa"/>
            <w:vAlign w:val="center"/>
          </w:tcPr>
          <w:p>
            <w:pPr>
              <w:pStyle w:val="0"/>
            </w:pPr>
            <w:r>
              <w:rPr>
                <w:sz w:val="20"/>
              </w:rPr>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8.1</w:t>
            </w:r>
          </w:p>
        </w:tc>
        <w:tc>
          <w:tcPr>
            <w:tcW w:w="5280" w:type="dxa"/>
          </w:tcPr>
          <w:p>
            <w:pPr>
              <w:pStyle w:val="0"/>
              <w:ind w:firstLine="126"/>
              <w:jc w:val="both"/>
            </w:pPr>
            <w:r>
              <w:rPr>
                <w:sz w:val="20"/>
              </w:rPr>
              <w:t xml:space="preserve">Объем воды, отпущенной абонентам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8.2.1</w:t>
            </w:r>
          </w:p>
        </w:tc>
        <w:tc>
          <w:tcPr>
            <w:tcW w:w="5280" w:type="dxa"/>
          </w:tcPr>
          <w:p>
            <w:pPr>
              <w:pStyle w:val="0"/>
              <w:ind w:firstLine="540"/>
              <w:jc w:val="both"/>
            </w:pPr>
            <w:r>
              <w:rPr>
                <w:sz w:val="20"/>
              </w:rPr>
              <w:t xml:space="preserve">по приборам учета</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8.2.2</w:t>
            </w:r>
          </w:p>
        </w:tc>
        <w:tc>
          <w:tcPr>
            <w:tcW w:w="5280" w:type="dxa"/>
          </w:tcPr>
          <w:p>
            <w:pPr>
              <w:pStyle w:val="0"/>
              <w:ind w:firstLine="540"/>
              <w:jc w:val="both"/>
            </w:pPr>
            <w:r>
              <w:rPr>
                <w:sz w:val="20"/>
              </w:rPr>
              <w:t xml:space="preserve">по нормативам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8.3.1</w:t>
            </w:r>
          </w:p>
        </w:tc>
        <w:tc>
          <w:tcPr>
            <w:tcW w:w="5280" w:type="dxa"/>
          </w:tcPr>
          <w:p>
            <w:pPr>
              <w:pStyle w:val="0"/>
              <w:ind w:firstLine="540"/>
              <w:jc w:val="both"/>
            </w:pPr>
            <w:r>
              <w:rPr>
                <w:sz w:val="20"/>
              </w:rPr>
              <w:t xml:space="preserve">в соответствии с санитарными нормами</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8.3.2</w:t>
            </w:r>
          </w:p>
        </w:tc>
        <w:tc>
          <w:tcPr>
            <w:tcW w:w="5280" w:type="dxa"/>
          </w:tcPr>
          <w:p>
            <w:pPr>
              <w:pStyle w:val="0"/>
              <w:ind w:firstLine="540"/>
              <w:jc w:val="both"/>
            </w:pPr>
            <w:r>
              <w:rPr>
                <w:sz w:val="20"/>
              </w:rPr>
              <w:t xml:space="preserve">с нарушениями санитарных норм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8.3.2.1</w:t>
            </w:r>
          </w:p>
        </w:tc>
        <w:tc>
          <w:tcPr>
            <w:tcW w:w="5280" w:type="dxa"/>
          </w:tcPr>
          <w:p>
            <w:pPr>
              <w:pStyle w:val="0"/>
              <w:ind w:firstLine="846"/>
              <w:jc w:val="both"/>
            </w:pPr>
            <w:r>
              <w:rPr>
                <w:sz w:val="20"/>
              </w:rPr>
              <w:t xml:space="preserve">по температуре</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8.3.2.2</w:t>
            </w:r>
          </w:p>
        </w:tc>
        <w:tc>
          <w:tcPr>
            <w:tcW w:w="5280" w:type="dxa"/>
          </w:tcPr>
          <w:p>
            <w:pPr>
              <w:pStyle w:val="0"/>
              <w:ind w:firstLine="846"/>
              <w:jc w:val="both"/>
            </w:pPr>
            <w:r>
              <w:rPr>
                <w:sz w:val="20"/>
              </w:rPr>
              <w:t xml:space="preserve">по качеству воды</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8.4</w:t>
            </w:r>
          </w:p>
        </w:tc>
        <w:tc>
          <w:tcPr>
            <w:tcW w:w="5280" w:type="dxa"/>
          </w:tcPr>
          <w:p>
            <w:pPr>
              <w:pStyle w:val="0"/>
              <w:ind w:firstLine="126"/>
              <w:jc w:val="both"/>
            </w:pPr>
            <w:r>
              <w:rPr>
                <w:sz w:val="20"/>
              </w:rPr>
              <w:t xml:space="preserve">при дифференциации тарифов по объему</w:t>
            </w:r>
          </w:p>
        </w:tc>
        <w:tc>
          <w:tcPr>
            <w:tcW w:w="1417" w:type="dxa"/>
            <w:vAlign w:val="center"/>
          </w:tcPr>
          <w:p>
            <w:pPr>
              <w:pStyle w:val="0"/>
            </w:pPr>
            <w:r>
              <w:rPr>
                <w:sz w:val="20"/>
              </w:rPr>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8.4.1</w:t>
            </w:r>
          </w:p>
        </w:tc>
        <w:tc>
          <w:tcPr>
            <w:tcW w:w="5280" w:type="dxa"/>
          </w:tcPr>
          <w:p>
            <w:pPr>
              <w:pStyle w:val="0"/>
              <w:ind w:firstLine="540"/>
              <w:jc w:val="both"/>
            </w:pPr>
            <w:r>
              <w:rPr>
                <w:sz w:val="20"/>
              </w:rPr>
              <w:t xml:space="preserve">в пределах i-го объема</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8.5</w:t>
            </w:r>
          </w:p>
        </w:tc>
        <w:tc>
          <w:tcPr>
            <w:tcW w:w="5280" w:type="dxa"/>
          </w:tcPr>
          <w:p>
            <w:pPr>
              <w:pStyle w:val="0"/>
              <w:ind w:firstLine="126"/>
              <w:jc w:val="both"/>
            </w:pPr>
            <w:r>
              <w:rPr>
                <w:sz w:val="20"/>
              </w:rPr>
              <w:t xml:space="preserve">По абонентам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8.5.1</w:t>
            </w:r>
          </w:p>
        </w:tc>
        <w:tc>
          <w:tcPr>
            <w:tcW w:w="5280" w:type="dxa"/>
          </w:tcPr>
          <w:p>
            <w:pPr>
              <w:pStyle w:val="0"/>
              <w:ind w:firstLine="540"/>
            </w:pPr>
            <w:r>
              <w:rPr>
                <w:sz w:val="20"/>
              </w:rPr>
              <w:t xml:space="preserve">другим организациям, осуществляющим водоснабжение</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8.5.1.1</w:t>
            </w:r>
          </w:p>
        </w:tc>
        <w:tc>
          <w:tcPr>
            <w:tcW w:w="5280" w:type="dxa"/>
          </w:tcPr>
          <w:p>
            <w:pPr>
              <w:pStyle w:val="0"/>
              <w:ind w:firstLine="846"/>
              <w:jc w:val="both"/>
            </w:pPr>
            <w:r>
              <w:rPr>
                <w:sz w:val="20"/>
              </w:rPr>
              <w:t xml:space="preserve">организация 1</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8.5.1.2</w:t>
            </w:r>
          </w:p>
        </w:tc>
        <w:tc>
          <w:tcPr>
            <w:tcW w:w="5280" w:type="dxa"/>
          </w:tcPr>
          <w:p>
            <w:pPr>
              <w:pStyle w:val="0"/>
              <w:ind w:firstLine="846"/>
              <w:jc w:val="both"/>
            </w:pPr>
            <w:r>
              <w:rPr>
                <w:sz w:val="20"/>
              </w:rPr>
              <w:t xml:space="preserve">организация 2</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8.5.1.n</w:t>
            </w:r>
          </w:p>
        </w:tc>
        <w:tc>
          <w:tcPr>
            <w:tcW w:w="5280" w:type="dxa"/>
          </w:tcPr>
          <w:p>
            <w:pPr>
              <w:pStyle w:val="0"/>
              <w:ind w:firstLine="846"/>
              <w:jc w:val="both"/>
            </w:pPr>
            <w:r>
              <w:rPr>
                <w:sz w:val="20"/>
              </w:rPr>
              <w:t xml:space="preserve">организация n</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8.5.2</w:t>
            </w:r>
          </w:p>
        </w:tc>
        <w:tc>
          <w:tcPr>
            <w:tcW w:w="5280" w:type="dxa"/>
          </w:tcPr>
          <w:p>
            <w:pPr>
              <w:pStyle w:val="0"/>
              <w:ind w:firstLine="540"/>
              <w:jc w:val="both"/>
            </w:pPr>
            <w:r>
              <w:rPr>
                <w:sz w:val="20"/>
              </w:rPr>
              <w:t xml:space="preserve">собственным абонентам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8.6</w:t>
            </w:r>
          </w:p>
        </w:tc>
        <w:tc>
          <w:tcPr>
            <w:tcW w:w="5280" w:type="dxa"/>
          </w:tcPr>
          <w:p>
            <w:pPr>
              <w:pStyle w:val="0"/>
              <w:ind w:firstLine="126"/>
              <w:jc w:val="both"/>
            </w:pPr>
            <w:r>
              <w:rPr>
                <w:sz w:val="20"/>
              </w:rPr>
              <w:t xml:space="preserve">Объем тепловой энергии, реализуемой абонентам в целях оказания услуги горячего водоснабжения:</w:t>
            </w:r>
          </w:p>
        </w:tc>
        <w:tc>
          <w:tcPr>
            <w:tcW w:w="1417" w:type="dxa"/>
            <w:vAlign w:val="center"/>
          </w:tcPr>
          <w:p>
            <w:pPr>
              <w:pStyle w:val="0"/>
              <w:jc w:val="center"/>
            </w:pPr>
            <w:r>
              <w:rPr>
                <w:sz w:val="20"/>
              </w:rPr>
              <w:t xml:space="preserve">тыс. Гкал</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8.6.1</w:t>
            </w:r>
          </w:p>
        </w:tc>
        <w:tc>
          <w:tcPr>
            <w:tcW w:w="5280" w:type="dxa"/>
          </w:tcPr>
          <w:p>
            <w:pPr>
              <w:pStyle w:val="0"/>
              <w:ind w:firstLine="846"/>
              <w:jc w:val="both"/>
            </w:pPr>
            <w:r>
              <w:rPr>
                <w:sz w:val="20"/>
              </w:rPr>
              <w:t xml:space="preserve">по приборам учета</w:t>
            </w:r>
          </w:p>
        </w:tc>
        <w:tc>
          <w:tcPr>
            <w:tcW w:w="1417" w:type="dxa"/>
            <w:vAlign w:val="center"/>
          </w:tcPr>
          <w:p>
            <w:pPr>
              <w:pStyle w:val="0"/>
              <w:jc w:val="center"/>
            </w:pPr>
            <w:r>
              <w:rPr>
                <w:sz w:val="20"/>
              </w:rPr>
              <w:t xml:space="preserve">тыс. Гкал</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8.6.2</w:t>
            </w:r>
          </w:p>
        </w:tc>
        <w:tc>
          <w:tcPr>
            <w:tcW w:w="5280" w:type="dxa"/>
          </w:tcPr>
          <w:p>
            <w:pPr>
              <w:pStyle w:val="0"/>
              <w:ind w:firstLine="846"/>
              <w:jc w:val="both"/>
            </w:pPr>
            <w:r>
              <w:rPr>
                <w:sz w:val="20"/>
              </w:rPr>
              <w:t xml:space="preserve">по нормативам</w:t>
            </w:r>
          </w:p>
        </w:tc>
        <w:tc>
          <w:tcPr>
            <w:tcW w:w="1417" w:type="dxa"/>
            <w:vAlign w:val="center"/>
          </w:tcPr>
          <w:p>
            <w:pPr>
              <w:pStyle w:val="0"/>
              <w:jc w:val="center"/>
            </w:pPr>
            <w:r>
              <w:rPr>
                <w:sz w:val="20"/>
              </w:rPr>
              <w:t xml:space="preserve">тыс. Гкал</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outlineLvl w:val="2"/>
            </w:pPr>
            <w:r>
              <w:rPr>
                <w:sz w:val="20"/>
              </w:rPr>
              <w:t xml:space="preserve">9</w:t>
            </w:r>
          </w:p>
        </w:tc>
        <w:tc>
          <w:tcPr>
            <w:tcW w:w="5280" w:type="dxa"/>
          </w:tcPr>
          <w:p>
            <w:pPr>
              <w:pStyle w:val="0"/>
            </w:pPr>
            <w:r>
              <w:rPr>
                <w:sz w:val="20"/>
              </w:rPr>
              <w:t xml:space="preserve">Объем воды, отпускаемой новым абонентам</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9.1</w:t>
            </w:r>
          </w:p>
        </w:tc>
        <w:tc>
          <w:tcPr>
            <w:tcW w:w="5280" w:type="dxa"/>
          </w:tcPr>
          <w:p>
            <w:pPr>
              <w:pStyle w:val="0"/>
              <w:ind w:firstLine="126"/>
              <w:jc w:val="both"/>
            </w:pPr>
            <w:r>
              <w:rPr>
                <w:sz w:val="20"/>
              </w:rPr>
              <w:t xml:space="preserve">Увеличение отпуска питьевой воды в связи с подключением абонентов</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pPr>
            <w:r>
              <w:rPr>
                <w:sz w:val="20"/>
              </w:rPr>
              <w:t xml:space="preserve">9.2</w:t>
            </w:r>
          </w:p>
        </w:tc>
        <w:tc>
          <w:tcPr>
            <w:tcW w:w="5280" w:type="dxa"/>
          </w:tcPr>
          <w:p>
            <w:pPr>
              <w:pStyle w:val="0"/>
              <w:ind w:firstLine="126"/>
              <w:jc w:val="both"/>
            </w:pPr>
            <w:r>
              <w:rPr>
                <w:sz w:val="20"/>
              </w:rPr>
              <w:t xml:space="preserve">Снижение отпуска питьевой воды в связи с прекращением водоснабжения</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outlineLvl w:val="2"/>
            </w:pPr>
            <w:r>
              <w:rPr>
                <w:sz w:val="20"/>
              </w:rPr>
              <w:t xml:space="preserve">10</w:t>
            </w:r>
          </w:p>
        </w:tc>
        <w:tc>
          <w:tcPr>
            <w:tcW w:w="5280" w:type="dxa"/>
          </w:tcPr>
          <w:p>
            <w:pPr>
              <w:pStyle w:val="0"/>
            </w:pPr>
            <w:r>
              <w:rPr>
                <w:sz w:val="20"/>
              </w:rPr>
              <w:t xml:space="preserve">Изменение объема отпуска питьевой воды в связи с изменением нормативов потребления и установкой приборов учета</w:t>
            </w:r>
          </w:p>
        </w:tc>
        <w:tc>
          <w:tcPr>
            <w:tcW w:w="1417" w:type="dxa"/>
            <w:vAlign w:val="center"/>
          </w:tcPr>
          <w:p>
            <w:pPr>
              <w:pStyle w:val="0"/>
              <w:jc w:val="center"/>
            </w:pPr>
            <w:r>
              <w:rPr>
                <w:sz w:val="20"/>
              </w:rPr>
              <w:t xml:space="preserve">тыс. куб. м</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r>
        <w:tc>
          <w:tcPr>
            <w:tcW w:w="1134" w:type="dxa"/>
            <w:vAlign w:val="center"/>
          </w:tcPr>
          <w:p>
            <w:pPr>
              <w:pStyle w:val="0"/>
              <w:outlineLvl w:val="2"/>
            </w:pPr>
            <w:r>
              <w:rPr>
                <w:sz w:val="20"/>
              </w:rPr>
              <w:t xml:space="preserve">11</w:t>
            </w:r>
          </w:p>
        </w:tc>
        <w:tc>
          <w:tcPr>
            <w:tcW w:w="5280" w:type="dxa"/>
          </w:tcPr>
          <w:p>
            <w:pPr>
              <w:pStyle w:val="0"/>
            </w:pPr>
            <w:r>
              <w:rPr>
                <w:sz w:val="20"/>
              </w:rPr>
              <w:t xml:space="preserve">Темп изменения потребления воды</w:t>
            </w:r>
          </w:p>
        </w:tc>
        <w:tc>
          <w:tcPr>
            <w:tcW w:w="1417" w:type="dxa"/>
            <w:vAlign w:val="center"/>
          </w:tcPr>
          <w:p>
            <w:pPr>
              <w:pStyle w:val="0"/>
              <w:jc w:val="center"/>
            </w:pPr>
            <w:r>
              <w:rPr>
                <w:sz w:val="20"/>
              </w:rPr>
              <w:t xml:space="preserve">%</w:t>
            </w:r>
          </w:p>
        </w:tc>
        <w:tc>
          <w:tcPr>
            <w:tcW w:w="782" w:type="dxa"/>
          </w:tcPr>
          <w:p>
            <w:pPr>
              <w:pStyle w:val="0"/>
            </w:pPr>
            <w:r>
              <w:rPr>
                <w:sz w:val="20"/>
              </w:rPr>
            </w:r>
          </w:p>
        </w:tc>
        <w:tc>
          <w:tcPr>
            <w:tcW w:w="720" w:type="dxa"/>
          </w:tcPr>
          <w:p>
            <w:pPr>
              <w:pStyle w:val="0"/>
            </w:pPr>
            <w:r>
              <w:rPr>
                <w:sz w:val="20"/>
              </w:rPr>
            </w:r>
          </w:p>
        </w:tc>
        <w:tc>
          <w:tcPr>
            <w:tcW w:w="725" w:type="dxa"/>
          </w:tcPr>
          <w:p>
            <w:pPr>
              <w:pStyle w:val="0"/>
            </w:pPr>
            <w:r>
              <w:rPr>
                <w:sz w:val="20"/>
              </w:rPr>
            </w:r>
          </w:p>
        </w:tc>
        <w:tc>
          <w:tcPr>
            <w:tcW w:w="719" w:type="dxa"/>
          </w:tcPr>
          <w:p>
            <w:pPr>
              <w:pStyle w:val="0"/>
            </w:pPr>
            <w:r>
              <w:rPr>
                <w:sz w:val="20"/>
              </w:rPr>
            </w:r>
          </w:p>
        </w:tc>
        <w:tc>
          <w:tcPr>
            <w:tcW w:w="729" w:type="dxa"/>
          </w:tcPr>
          <w:p>
            <w:pPr>
              <w:pStyle w:val="0"/>
            </w:pPr>
            <w:r>
              <w:rPr>
                <w:sz w:val="20"/>
              </w:rPr>
            </w:r>
          </w:p>
        </w:tc>
        <w:tc>
          <w:tcPr>
            <w:tcW w:w="716" w:type="dxa"/>
          </w:tcPr>
          <w:p>
            <w:pPr>
              <w:pStyle w:val="0"/>
            </w:pPr>
            <w:r>
              <w:rPr>
                <w:sz w:val="20"/>
              </w:rPr>
            </w:r>
          </w:p>
        </w:tc>
        <w:tc>
          <w:tcPr>
            <w:tcW w:w="864" w:type="dxa"/>
          </w:tcPr>
          <w:p>
            <w:pPr>
              <w:pStyle w:val="0"/>
            </w:pPr>
            <w:r>
              <w:rPr>
                <w:sz w:val="20"/>
              </w:rPr>
            </w:r>
          </w:p>
        </w:tc>
        <w:tc>
          <w:tcPr>
            <w:tcW w:w="861" w:type="dxa"/>
          </w:tcPr>
          <w:p>
            <w:pPr>
              <w:pStyle w:val="0"/>
            </w:pPr>
            <w:r>
              <w:rPr>
                <w:sz w:val="20"/>
              </w:rPr>
            </w:r>
          </w:p>
        </w:tc>
        <w:tc>
          <w:tcPr>
            <w:tcW w:w="964" w:type="dxa"/>
          </w:tcPr>
          <w:p>
            <w:pPr>
              <w:pStyle w:val="0"/>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1.1</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85"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color w:val="392c69"/>
              </w:rPr>
              <w:t xml:space="preserve"> ФСТ России от 24.11.2014 N 2054-э)</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084" w:name="P2084"/>
    <w:bookmarkEnd w:id="2084"/>
    <w:p>
      <w:pPr>
        <w:pStyle w:val="0"/>
        <w:jc w:val="center"/>
      </w:pPr>
      <w:r>
        <w:rPr>
          <w:sz w:val="20"/>
        </w:rPr>
        <w:t xml:space="preserve">Баланс водоотведения</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5272"/>
        <w:gridCol w:w="1435"/>
        <w:gridCol w:w="864"/>
        <w:gridCol w:w="720"/>
        <w:gridCol w:w="710"/>
        <w:gridCol w:w="720"/>
        <w:gridCol w:w="720"/>
        <w:gridCol w:w="710"/>
        <w:gridCol w:w="715"/>
        <w:gridCol w:w="854"/>
        <w:gridCol w:w="1077"/>
      </w:tblGrid>
      <w:tr>
        <w:tc>
          <w:tcPr>
            <w:tcW w:w="1134" w:type="dxa"/>
            <w:vMerge w:val="restart"/>
          </w:tcPr>
          <w:p>
            <w:pPr>
              <w:pStyle w:val="0"/>
              <w:jc w:val="center"/>
            </w:pPr>
            <w:r>
              <w:rPr>
                <w:sz w:val="20"/>
              </w:rPr>
              <w:t xml:space="preserve">N п/п</w:t>
            </w:r>
          </w:p>
        </w:tc>
        <w:tc>
          <w:tcPr>
            <w:tcW w:w="5272" w:type="dxa"/>
            <w:vMerge w:val="restart"/>
          </w:tcPr>
          <w:p>
            <w:pPr>
              <w:pStyle w:val="0"/>
              <w:jc w:val="center"/>
            </w:pPr>
            <w:r>
              <w:rPr>
                <w:sz w:val="20"/>
              </w:rPr>
              <w:t xml:space="preserve">Наименование</w:t>
            </w:r>
          </w:p>
        </w:tc>
        <w:tc>
          <w:tcPr>
            <w:tcW w:w="1435" w:type="dxa"/>
            <w:vMerge w:val="restart"/>
          </w:tcPr>
          <w:p>
            <w:pPr>
              <w:pStyle w:val="0"/>
              <w:jc w:val="center"/>
            </w:pPr>
            <w:r>
              <w:rPr>
                <w:sz w:val="20"/>
              </w:rPr>
              <w:t xml:space="preserve">Единица измерения</w:t>
            </w:r>
          </w:p>
        </w:tc>
        <w:tc>
          <w:tcPr>
            <w:gridSpan w:val="2"/>
            <w:tcW w:w="1584" w:type="dxa"/>
          </w:tcPr>
          <w:p>
            <w:pPr>
              <w:pStyle w:val="0"/>
              <w:jc w:val="center"/>
            </w:pPr>
            <w:r>
              <w:rPr>
                <w:sz w:val="20"/>
              </w:rPr>
              <w:t xml:space="preserve">Истекший год (i-4)</w:t>
            </w:r>
          </w:p>
        </w:tc>
        <w:tc>
          <w:tcPr>
            <w:gridSpan w:val="2"/>
            <w:tcW w:w="1430" w:type="dxa"/>
          </w:tcPr>
          <w:p>
            <w:pPr>
              <w:pStyle w:val="0"/>
              <w:jc w:val="center"/>
            </w:pPr>
            <w:r>
              <w:rPr>
                <w:sz w:val="20"/>
              </w:rPr>
              <w:t xml:space="preserve">Истекший год (i-3)</w:t>
            </w:r>
          </w:p>
        </w:tc>
        <w:tc>
          <w:tcPr>
            <w:gridSpan w:val="2"/>
            <w:tcW w:w="1430" w:type="dxa"/>
          </w:tcPr>
          <w:p>
            <w:pPr>
              <w:pStyle w:val="0"/>
              <w:jc w:val="center"/>
            </w:pPr>
            <w:r>
              <w:rPr>
                <w:sz w:val="20"/>
              </w:rPr>
              <w:t xml:space="preserve">Истекший год (i-2)</w:t>
            </w:r>
          </w:p>
        </w:tc>
        <w:tc>
          <w:tcPr>
            <w:gridSpan w:val="2"/>
            <w:tcW w:w="1569" w:type="dxa"/>
          </w:tcPr>
          <w:p>
            <w:pPr>
              <w:pStyle w:val="0"/>
              <w:jc w:val="center"/>
            </w:pPr>
            <w:r>
              <w:rPr>
                <w:sz w:val="20"/>
              </w:rPr>
              <w:t xml:space="preserve">Текущий год (i-1)</w:t>
            </w:r>
          </w:p>
        </w:tc>
        <w:tc>
          <w:tcPr>
            <w:tcW w:w="1077"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864" w:type="dxa"/>
          </w:tcPr>
          <w:p>
            <w:pPr>
              <w:pStyle w:val="0"/>
              <w:jc w:val="center"/>
            </w:pPr>
            <w:r>
              <w:rPr>
                <w:sz w:val="20"/>
              </w:rPr>
              <w:t xml:space="preserve">план</w:t>
            </w:r>
          </w:p>
        </w:tc>
        <w:tc>
          <w:tcPr>
            <w:tcW w:w="720" w:type="dxa"/>
          </w:tcPr>
          <w:p>
            <w:pPr>
              <w:pStyle w:val="0"/>
              <w:jc w:val="center"/>
            </w:pPr>
            <w:r>
              <w:rPr>
                <w:sz w:val="20"/>
              </w:rPr>
              <w:t xml:space="preserve">факт</w:t>
            </w:r>
          </w:p>
        </w:tc>
        <w:tc>
          <w:tcPr>
            <w:tcW w:w="710" w:type="dxa"/>
          </w:tcPr>
          <w:p>
            <w:pPr>
              <w:pStyle w:val="0"/>
              <w:jc w:val="center"/>
            </w:pPr>
            <w:r>
              <w:rPr>
                <w:sz w:val="20"/>
              </w:rPr>
              <w:t xml:space="preserve">план</w:t>
            </w:r>
          </w:p>
        </w:tc>
        <w:tc>
          <w:tcPr>
            <w:tcW w:w="720" w:type="dxa"/>
          </w:tcPr>
          <w:p>
            <w:pPr>
              <w:pStyle w:val="0"/>
              <w:jc w:val="center"/>
            </w:pPr>
            <w:r>
              <w:rPr>
                <w:sz w:val="20"/>
              </w:rPr>
              <w:t xml:space="preserve">факт</w:t>
            </w:r>
          </w:p>
        </w:tc>
        <w:tc>
          <w:tcPr>
            <w:tcW w:w="720" w:type="dxa"/>
          </w:tcPr>
          <w:p>
            <w:pPr>
              <w:pStyle w:val="0"/>
              <w:jc w:val="center"/>
            </w:pPr>
            <w:r>
              <w:rPr>
                <w:sz w:val="20"/>
              </w:rPr>
              <w:t xml:space="preserve">план</w:t>
            </w:r>
          </w:p>
        </w:tc>
        <w:tc>
          <w:tcPr>
            <w:tcW w:w="710" w:type="dxa"/>
          </w:tcPr>
          <w:p>
            <w:pPr>
              <w:pStyle w:val="0"/>
              <w:jc w:val="center"/>
            </w:pPr>
            <w:r>
              <w:rPr>
                <w:sz w:val="20"/>
              </w:rPr>
              <w:t xml:space="preserve">факт</w:t>
            </w:r>
          </w:p>
        </w:tc>
        <w:tc>
          <w:tcPr>
            <w:tcW w:w="715" w:type="dxa"/>
          </w:tcPr>
          <w:p>
            <w:pPr>
              <w:pStyle w:val="0"/>
              <w:jc w:val="center"/>
            </w:pPr>
            <w:r>
              <w:rPr>
                <w:sz w:val="20"/>
              </w:rPr>
              <w:t xml:space="preserve">план</w:t>
            </w:r>
          </w:p>
        </w:tc>
        <w:tc>
          <w:tcPr>
            <w:tcW w:w="854" w:type="dxa"/>
          </w:tcPr>
          <w:p>
            <w:pPr>
              <w:pStyle w:val="0"/>
              <w:jc w:val="center"/>
            </w:pPr>
            <w:r>
              <w:rPr>
                <w:sz w:val="20"/>
              </w:rPr>
              <w:t xml:space="preserve">ожид</w:t>
            </w:r>
          </w:p>
        </w:tc>
        <w:tc>
          <w:tcPr>
            <w:vMerge w:val="continue"/>
          </w:tcPr>
          <w:p/>
        </w:tc>
      </w:tr>
      <w:tr>
        <w:tc>
          <w:tcPr>
            <w:tcW w:w="1134" w:type="dxa"/>
          </w:tcPr>
          <w:p>
            <w:pPr>
              <w:pStyle w:val="0"/>
              <w:jc w:val="center"/>
            </w:pPr>
            <w:r>
              <w:rPr>
                <w:sz w:val="20"/>
              </w:rPr>
              <w:t xml:space="preserve">1</w:t>
            </w:r>
          </w:p>
        </w:tc>
        <w:tc>
          <w:tcPr>
            <w:tcW w:w="5272" w:type="dxa"/>
          </w:tcPr>
          <w:p>
            <w:pPr>
              <w:pStyle w:val="0"/>
              <w:jc w:val="center"/>
            </w:pPr>
            <w:r>
              <w:rPr>
                <w:sz w:val="20"/>
              </w:rPr>
              <w:t xml:space="preserve">2</w:t>
            </w:r>
          </w:p>
        </w:tc>
        <w:tc>
          <w:tcPr>
            <w:tcW w:w="1435" w:type="dxa"/>
          </w:tcPr>
          <w:p>
            <w:pPr>
              <w:pStyle w:val="0"/>
              <w:jc w:val="center"/>
            </w:pPr>
            <w:r>
              <w:rPr>
                <w:sz w:val="20"/>
              </w:rPr>
              <w:t xml:space="preserve">3</w:t>
            </w:r>
          </w:p>
        </w:tc>
        <w:tc>
          <w:tcPr>
            <w:tcW w:w="864" w:type="dxa"/>
          </w:tcPr>
          <w:p>
            <w:pPr>
              <w:pStyle w:val="0"/>
            </w:pPr>
            <w:r>
              <w:rPr>
                <w:sz w:val="20"/>
              </w:rPr>
            </w:r>
          </w:p>
        </w:tc>
        <w:tc>
          <w:tcPr>
            <w:tcW w:w="720" w:type="dxa"/>
          </w:tcPr>
          <w:p>
            <w:pPr>
              <w:pStyle w:val="0"/>
            </w:pPr>
            <w:r>
              <w:rPr>
                <w:sz w:val="20"/>
              </w:rPr>
            </w:r>
          </w:p>
        </w:tc>
        <w:tc>
          <w:tcPr>
            <w:tcW w:w="710" w:type="dxa"/>
          </w:tcPr>
          <w:p>
            <w:pPr>
              <w:pStyle w:val="0"/>
              <w:jc w:val="center"/>
            </w:pPr>
            <w:r>
              <w:rPr>
                <w:sz w:val="20"/>
              </w:rPr>
              <w:t xml:space="preserve">4</w:t>
            </w:r>
          </w:p>
        </w:tc>
        <w:tc>
          <w:tcPr>
            <w:tcW w:w="720" w:type="dxa"/>
          </w:tcPr>
          <w:p>
            <w:pPr>
              <w:pStyle w:val="0"/>
              <w:jc w:val="center"/>
            </w:pPr>
            <w:r>
              <w:rPr>
                <w:sz w:val="20"/>
              </w:rPr>
              <w:t xml:space="preserve">5</w:t>
            </w:r>
          </w:p>
        </w:tc>
        <w:tc>
          <w:tcPr>
            <w:tcW w:w="720" w:type="dxa"/>
          </w:tcPr>
          <w:p>
            <w:pPr>
              <w:pStyle w:val="0"/>
              <w:jc w:val="center"/>
            </w:pPr>
            <w:r>
              <w:rPr>
                <w:sz w:val="20"/>
              </w:rPr>
              <w:t xml:space="preserve">6</w:t>
            </w:r>
          </w:p>
        </w:tc>
        <w:tc>
          <w:tcPr>
            <w:tcW w:w="710" w:type="dxa"/>
          </w:tcPr>
          <w:p>
            <w:pPr>
              <w:pStyle w:val="0"/>
              <w:jc w:val="center"/>
            </w:pPr>
            <w:r>
              <w:rPr>
                <w:sz w:val="20"/>
              </w:rPr>
              <w:t xml:space="preserve">7</w:t>
            </w:r>
          </w:p>
        </w:tc>
        <w:tc>
          <w:tcPr>
            <w:tcW w:w="715" w:type="dxa"/>
          </w:tcPr>
          <w:p>
            <w:pPr>
              <w:pStyle w:val="0"/>
              <w:jc w:val="center"/>
            </w:pPr>
            <w:r>
              <w:rPr>
                <w:sz w:val="20"/>
              </w:rPr>
              <w:t xml:space="preserve">8</w:t>
            </w:r>
          </w:p>
        </w:tc>
        <w:tc>
          <w:tcPr>
            <w:tcW w:w="854" w:type="dxa"/>
          </w:tcPr>
          <w:p>
            <w:pPr>
              <w:pStyle w:val="0"/>
              <w:jc w:val="center"/>
            </w:pPr>
            <w:r>
              <w:rPr>
                <w:sz w:val="20"/>
              </w:rPr>
              <w:t xml:space="preserve">9</w:t>
            </w:r>
          </w:p>
        </w:tc>
        <w:tc>
          <w:tcPr>
            <w:tcW w:w="1077" w:type="dxa"/>
          </w:tcPr>
          <w:p>
            <w:pPr>
              <w:pStyle w:val="0"/>
              <w:jc w:val="center"/>
            </w:pPr>
            <w:r>
              <w:rPr>
                <w:sz w:val="20"/>
              </w:rPr>
              <w:t xml:space="preserve">10</w:t>
            </w:r>
          </w:p>
        </w:tc>
      </w:tr>
      <w:tr>
        <w:tc>
          <w:tcPr>
            <w:tcW w:w="1134" w:type="dxa"/>
            <w:vAlign w:val="center"/>
          </w:tcPr>
          <w:p>
            <w:pPr>
              <w:pStyle w:val="0"/>
            </w:pPr>
            <w:r>
              <w:rPr>
                <w:sz w:val="20"/>
              </w:rPr>
              <w:t xml:space="preserve">1</w:t>
            </w:r>
          </w:p>
        </w:tc>
        <w:tc>
          <w:tcPr>
            <w:tcW w:w="5272" w:type="dxa"/>
          </w:tcPr>
          <w:p>
            <w:pPr>
              <w:pStyle w:val="0"/>
            </w:pPr>
            <w:r>
              <w:rPr>
                <w:sz w:val="20"/>
              </w:rPr>
              <w:t xml:space="preserve">Прием сточных вод</w:t>
            </w:r>
          </w:p>
        </w:tc>
        <w:tc>
          <w:tcPr>
            <w:tcW w:w="1435" w:type="dxa"/>
            <w:vAlign w:val="center"/>
          </w:tcPr>
          <w:p>
            <w:pPr>
              <w:pStyle w:val="0"/>
            </w:pPr>
            <w:r>
              <w:rPr>
                <w:sz w:val="20"/>
              </w:rPr>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1.1</w:t>
            </w:r>
          </w:p>
        </w:tc>
        <w:tc>
          <w:tcPr>
            <w:tcW w:w="5272" w:type="dxa"/>
          </w:tcPr>
          <w:p>
            <w:pPr>
              <w:pStyle w:val="0"/>
              <w:ind w:firstLine="126"/>
              <w:jc w:val="both"/>
            </w:pPr>
            <w:r>
              <w:rPr>
                <w:sz w:val="20"/>
              </w:rPr>
              <w:t xml:space="preserve">Объем сточных вод, принятых у абонентов</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1.1.1</w:t>
            </w:r>
          </w:p>
        </w:tc>
        <w:tc>
          <w:tcPr>
            <w:tcW w:w="5272" w:type="dxa"/>
          </w:tcPr>
          <w:p>
            <w:pPr>
              <w:pStyle w:val="0"/>
              <w:ind w:firstLine="540"/>
              <w:jc w:val="both"/>
            </w:pPr>
            <w:r>
              <w:rPr>
                <w:sz w:val="20"/>
              </w:rPr>
              <w:t xml:space="preserve">в пределах норматива по объему</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1.1.2</w:t>
            </w:r>
          </w:p>
        </w:tc>
        <w:tc>
          <w:tcPr>
            <w:tcW w:w="5272" w:type="dxa"/>
          </w:tcPr>
          <w:p>
            <w:pPr>
              <w:pStyle w:val="0"/>
              <w:ind w:firstLine="540"/>
              <w:jc w:val="both"/>
            </w:pPr>
            <w:r>
              <w:rPr>
                <w:sz w:val="20"/>
              </w:rPr>
              <w:t xml:space="preserve">сверх норматива по объему</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1.2</w:t>
            </w:r>
          </w:p>
        </w:tc>
        <w:tc>
          <w:tcPr>
            <w:tcW w:w="5272" w:type="dxa"/>
          </w:tcPr>
          <w:p>
            <w:pPr>
              <w:pStyle w:val="0"/>
              <w:ind w:firstLine="126"/>
              <w:jc w:val="both"/>
            </w:pPr>
            <w:r>
              <w:rPr>
                <w:sz w:val="20"/>
              </w:rPr>
              <w:t xml:space="preserve">По категориям сточных вод:</w:t>
            </w:r>
          </w:p>
        </w:tc>
        <w:tc>
          <w:tcPr>
            <w:tcW w:w="1435" w:type="dxa"/>
            <w:vAlign w:val="center"/>
          </w:tcPr>
          <w:p>
            <w:pPr>
              <w:pStyle w:val="0"/>
            </w:pPr>
            <w:r>
              <w:rPr>
                <w:sz w:val="20"/>
              </w:rPr>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1.2.1</w:t>
            </w:r>
          </w:p>
        </w:tc>
        <w:tc>
          <w:tcPr>
            <w:tcW w:w="5272" w:type="dxa"/>
          </w:tcPr>
          <w:p>
            <w:pPr>
              <w:pStyle w:val="0"/>
              <w:ind w:firstLine="540"/>
              <w:jc w:val="both"/>
            </w:pPr>
            <w:r>
              <w:rPr>
                <w:sz w:val="20"/>
              </w:rPr>
              <w:t xml:space="preserve">жидких бытовых отходов</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1.2.2</w:t>
            </w:r>
          </w:p>
        </w:tc>
        <w:tc>
          <w:tcPr>
            <w:tcW w:w="5272" w:type="dxa"/>
          </w:tcPr>
          <w:p>
            <w:pPr>
              <w:pStyle w:val="0"/>
              <w:ind w:firstLine="540"/>
              <w:jc w:val="both"/>
            </w:pPr>
            <w:r>
              <w:rPr>
                <w:sz w:val="20"/>
              </w:rPr>
              <w:t xml:space="preserve">поверхностных сточных вод</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1.2.2.1</w:t>
            </w:r>
          </w:p>
        </w:tc>
        <w:tc>
          <w:tcPr>
            <w:tcW w:w="5272" w:type="dxa"/>
          </w:tcPr>
          <w:p>
            <w:pPr>
              <w:pStyle w:val="0"/>
              <w:ind w:firstLine="846"/>
              <w:jc w:val="both"/>
            </w:pPr>
            <w:r>
              <w:rPr>
                <w:sz w:val="20"/>
              </w:rPr>
              <w:t xml:space="preserve">от абонентов, которым установлены тарифы</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1.2.2.2</w:t>
            </w:r>
          </w:p>
        </w:tc>
        <w:tc>
          <w:tcPr>
            <w:tcW w:w="5272" w:type="dxa"/>
          </w:tcPr>
          <w:p>
            <w:pPr>
              <w:pStyle w:val="0"/>
              <w:ind w:firstLine="846"/>
              <w:jc w:val="both"/>
            </w:pPr>
            <w:r>
              <w:rPr>
                <w:sz w:val="20"/>
              </w:rPr>
              <w:t xml:space="preserve">от других абонентов</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1.2.3</w:t>
            </w:r>
          </w:p>
        </w:tc>
        <w:tc>
          <w:tcPr>
            <w:tcW w:w="5272" w:type="dxa"/>
          </w:tcPr>
          <w:p>
            <w:pPr>
              <w:pStyle w:val="0"/>
              <w:ind w:firstLine="540"/>
              <w:jc w:val="both"/>
            </w:pPr>
            <w:r>
              <w:rPr>
                <w:sz w:val="20"/>
              </w:rPr>
              <w:t xml:space="preserve">у нормируемых абонентов</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1.2.4</w:t>
            </w:r>
          </w:p>
        </w:tc>
        <w:tc>
          <w:tcPr>
            <w:tcW w:w="5272" w:type="dxa"/>
          </w:tcPr>
          <w:p>
            <w:pPr>
              <w:pStyle w:val="0"/>
              <w:ind w:firstLine="540"/>
              <w:jc w:val="both"/>
            </w:pPr>
            <w:r>
              <w:rPr>
                <w:sz w:val="20"/>
              </w:rPr>
              <w:t xml:space="preserve">у многоквартирных домов и приравненных к ним</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1.2.5</w:t>
            </w:r>
          </w:p>
        </w:tc>
        <w:tc>
          <w:tcPr>
            <w:tcW w:w="5272" w:type="dxa"/>
          </w:tcPr>
          <w:p>
            <w:pPr>
              <w:pStyle w:val="0"/>
              <w:ind w:firstLine="540"/>
              <w:jc w:val="both"/>
            </w:pPr>
            <w:r>
              <w:rPr>
                <w:sz w:val="20"/>
              </w:rPr>
              <w:t xml:space="preserve">у прочих абонентов, в том числе:</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1.2.5.1</w:t>
            </w:r>
          </w:p>
        </w:tc>
        <w:tc>
          <w:tcPr>
            <w:tcW w:w="5272" w:type="dxa"/>
          </w:tcPr>
          <w:p>
            <w:pPr>
              <w:pStyle w:val="0"/>
              <w:ind w:firstLine="846"/>
              <w:jc w:val="both"/>
            </w:pPr>
            <w:r>
              <w:rPr>
                <w:sz w:val="20"/>
              </w:rPr>
              <w:t xml:space="preserve">категория абонентов 1</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1.2.5.2</w:t>
            </w:r>
          </w:p>
        </w:tc>
        <w:tc>
          <w:tcPr>
            <w:tcW w:w="5272" w:type="dxa"/>
          </w:tcPr>
          <w:p>
            <w:pPr>
              <w:pStyle w:val="0"/>
              <w:ind w:firstLine="846"/>
              <w:jc w:val="both"/>
            </w:pPr>
            <w:r>
              <w:rPr>
                <w:sz w:val="20"/>
              </w:rPr>
              <w:t xml:space="preserve">категория абонентов 2</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1.2.5.n</w:t>
            </w:r>
          </w:p>
        </w:tc>
        <w:tc>
          <w:tcPr>
            <w:tcW w:w="5272" w:type="dxa"/>
          </w:tcPr>
          <w:p>
            <w:pPr>
              <w:pStyle w:val="0"/>
              <w:ind w:firstLine="846"/>
              <w:jc w:val="both"/>
            </w:pPr>
            <w:r>
              <w:rPr>
                <w:sz w:val="20"/>
              </w:rPr>
              <w:t xml:space="preserve">категория абонентов n</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1.3</w:t>
            </w:r>
          </w:p>
        </w:tc>
        <w:tc>
          <w:tcPr>
            <w:tcW w:w="5272" w:type="dxa"/>
          </w:tcPr>
          <w:p>
            <w:pPr>
              <w:pStyle w:val="0"/>
              <w:ind w:firstLine="126"/>
              <w:jc w:val="both"/>
            </w:pPr>
            <w:r>
              <w:rPr>
                <w:sz w:val="20"/>
              </w:rPr>
              <w:t xml:space="preserve">По абонентам</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1.3.1</w:t>
            </w:r>
          </w:p>
        </w:tc>
        <w:tc>
          <w:tcPr>
            <w:tcW w:w="5272" w:type="dxa"/>
          </w:tcPr>
          <w:p>
            <w:pPr>
              <w:pStyle w:val="0"/>
              <w:ind w:firstLine="540"/>
              <w:jc w:val="both"/>
            </w:pPr>
            <w:r>
              <w:rPr>
                <w:sz w:val="20"/>
              </w:rPr>
              <w:t xml:space="preserve">от других организаций, осуществляющих водоотведение</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1.3.1.1</w:t>
            </w:r>
          </w:p>
        </w:tc>
        <w:tc>
          <w:tcPr>
            <w:tcW w:w="5272" w:type="dxa"/>
          </w:tcPr>
          <w:p>
            <w:pPr>
              <w:pStyle w:val="0"/>
              <w:ind w:firstLine="846"/>
              <w:jc w:val="both"/>
            </w:pPr>
            <w:r>
              <w:rPr>
                <w:sz w:val="20"/>
              </w:rPr>
              <w:t xml:space="preserve">организация 1</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1.3.1.2</w:t>
            </w:r>
          </w:p>
        </w:tc>
        <w:tc>
          <w:tcPr>
            <w:tcW w:w="5272" w:type="dxa"/>
          </w:tcPr>
          <w:p>
            <w:pPr>
              <w:pStyle w:val="0"/>
              <w:ind w:firstLine="846"/>
              <w:jc w:val="both"/>
            </w:pPr>
            <w:r>
              <w:rPr>
                <w:sz w:val="20"/>
              </w:rPr>
              <w:t xml:space="preserve">организация 2</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1.3.1.n</w:t>
            </w:r>
          </w:p>
        </w:tc>
        <w:tc>
          <w:tcPr>
            <w:tcW w:w="5272" w:type="dxa"/>
          </w:tcPr>
          <w:p>
            <w:pPr>
              <w:pStyle w:val="0"/>
              <w:ind w:firstLine="846"/>
              <w:jc w:val="both"/>
            </w:pPr>
            <w:r>
              <w:rPr>
                <w:sz w:val="20"/>
              </w:rPr>
              <w:t xml:space="preserve">организация n</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1.3.2</w:t>
            </w:r>
          </w:p>
        </w:tc>
        <w:tc>
          <w:tcPr>
            <w:tcW w:w="5272" w:type="dxa"/>
          </w:tcPr>
          <w:p>
            <w:pPr>
              <w:pStyle w:val="0"/>
              <w:ind w:firstLine="540"/>
              <w:jc w:val="both"/>
            </w:pPr>
            <w:r>
              <w:rPr>
                <w:sz w:val="20"/>
              </w:rPr>
              <w:t xml:space="preserve">от собственных абонентов</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1.4</w:t>
            </w:r>
          </w:p>
        </w:tc>
        <w:tc>
          <w:tcPr>
            <w:tcW w:w="5272" w:type="dxa"/>
          </w:tcPr>
          <w:p>
            <w:pPr>
              <w:pStyle w:val="0"/>
              <w:ind w:firstLine="126"/>
              <w:jc w:val="both"/>
            </w:pPr>
            <w:r>
              <w:rPr>
                <w:sz w:val="20"/>
              </w:rPr>
              <w:t xml:space="preserve">Неучтенный приток сточных вод</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1.4.1</w:t>
            </w:r>
          </w:p>
        </w:tc>
        <w:tc>
          <w:tcPr>
            <w:tcW w:w="5272" w:type="dxa"/>
          </w:tcPr>
          <w:p>
            <w:pPr>
              <w:pStyle w:val="0"/>
              <w:ind w:firstLine="540"/>
              <w:jc w:val="both"/>
            </w:pPr>
            <w:r>
              <w:rPr>
                <w:sz w:val="20"/>
              </w:rPr>
              <w:t xml:space="preserve">Организованный приток</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1.4.2</w:t>
            </w:r>
          </w:p>
        </w:tc>
        <w:tc>
          <w:tcPr>
            <w:tcW w:w="5272" w:type="dxa"/>
          </w:tcPr>
          <w:p>
            <w:pPr>
              <w:pStyle w:val="0"/>
              <w:ind w:firstLine="540"/>
              <w:jc w:val="both"/>
            </w:pPr>
            <w:r>
              <w:rPr>
                <w:sz w:val="20"/>
              </w:rPr>
              <w:t xml:space="preserve">Неорганизованный приток</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1.5</w:t>
            </w:r>
          </w:p>
        </w:tc>
        <w:tc>
          <w:tcPr>
            <w:tcW w:w="5272" w:type="dxa"/>
          </w:tcPr>
          <w:p>
            <w:pPr>
              <w:pStyle w:val="0"/>
              <w:ind w:firstLine="126"/>
            </w:pPr>
            <w:r>
              <w:rPr>
                <w:sz w:val="20"/>
              </w:rPr>
              <w:t xml:space="preserve">Поступило с территорий, дифференцированных по тарифу</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2</w:t>
            </w:r>
          </w:p>
        </w:tc>
        <w:tc>
          <w:tcPr>
            <w:tcW w:w="5272" w:type="dxa"/>
          </w:tcPr>
          <w:p>
            <w:pPr>
              <w:pStyle w:val="0"/>
            </w:pPr>
            <w:r>
              <w:rPr>
                <w:sz w:val="20"/>
              </w:rPr>
              <w:t xml:space="preserve">Объем транспортируемых сточных вод</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2.1</w:t>
            </w:r>
          </w:p>
        </w:tc>
        <w:tc>
          <w:tcPr>
            <w:tcW w:w="5272" w:type="dxa"/>
          </w:tcPr>
          <w:p>
            <w:pPr>
              <w:pStyle w:val="0"/>
              <w:ind w:firstLine="126"/>
              <w:jc w:val="both"/>
            </w:pPr>
            <w:r>
              <w:rPr>
                <w:sz w:val="20"/>
              </w:rPr>
              <w:t xml:space="preserve">На собственные очистные сооружения</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2.2</w:t>
            </w:r>
          </w:p>
        </w:tc>
        <w:tc>
          <w:tcPr>
            <w:tcW w:w="5272" w:type="dxa"/>
          </w:tcPr>
          <w:p>
            <w:pPr>
              <w:pStyle w:val="0"/>
              <w:ind w:firstLine="126"/>
              <w:jc w:val="both"/>
            </w:pPr>
            <w:r>
              <w:rPr>
                <w:sz w:val="20"/>
              </w:rPr>
              <w:t xml:space="preserve">Другим организациям</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3</w:t>
            </w:r>
          </w:p>
        </w:tc>
        <w:tc>
          <w:tcPr>
            <w:tcW w:w="5272" w:type="dxa"/>
          </w:tcPr>
          <w:p>
            <w:pPr>
              <w:pStyle w:val="0"/>
            </w:pPr>
            <w:r>
              <w:rPr>
                <w:sz w:val="20"/>
              </w:rPr>
              <w:t xml:space="preserve">Объем сточных вод, поступивших на очистные сооружения</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3.1</w:t>
            </w:r>
          </w:p>
        </w:tc>
        <w:tc>
          <w:tcPr>
            <w:tcW w:w="5272" w:type="dxa"/>
          </w:tcPr>
          <w:p>
            <w:pPr>
              <w:pStyle w:val="0"/>
              <w:ind w:firstLine="126"/>
              <w:jc w:val="both"/>
            </w:pPr>
            <w:r>
              <w:rPr>
                <w:sz w:val="20"/>
              </w:rPr>
              <w:t xml:space="preserve">Объем сточных вод, прошедших очистку</w:t>
            </w:r>
          </w:p>
        </w:tc>
        <w:tc>
          <w:tcPr>
            <w:tcW w:w="1435" w:type="dxa"/>
            <w:vAlign w:val="center"/>
          </w:tcPr>
          <w:p>
            <w:pPr>
              <w:pStyle w:val="0"/>
              <w:jc w:val="center"/>
            </w:pPr>
            <w:r>
              <w:rPr>
                <w:sz w:val="20"/>
              </w:rPr>
              <w:t xml:space="preserve">млн.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3.2</w:t>
            </w:r>
          </w:p>
        </w:tc>
        <w:tc>
          <w:tcPr>
            <w:tcW w:w="5272" w:type="dxa"/>
          </w:tcPr>
          <w:p>
            <w:pPr>
              <w:pStyle w:val="0"/>
              <w:ind w:firstLine="126"/>
              <w:jc w:val="both"/>
            </w:pPr>
            <w:r>
              <w:rPr>
                <w:sz w:val="20"/>
              </w:rPr>
              <w:t xml:space="preserve">Сбросы сточных вод в пределах нормативов и лимитов</w:t>
            </w:r>
          </w:p>
        </w:tc>
        <w:tc>
          <w:tcPr>
            <w:tcW w:w="1435" w:type="dxa"/>
            <w:vAlign w:val="center"/>
          </w:tcPr>
          <w:p>
            <w:pPr>
              <w:pStyle w:val="0"/>
              <w:jc w:val="center"/>
            </w:pPr>
            <w:r>
              <w:rPr>
                <w:sz w:val="20"/>
              </w:rPr>
              <w:t xml:space="preserve">млн.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4</w:t>
            </w:r>
          </w:p>
        </w:tc>
        <w:tc>
          <w:tcPr>
            <w:tcW w:w="5272" w:type="dxa"/>
          </w:tcPr>
          <w:p>
            <w:pPr>
              <w:pStyle w:val="0"/>
            </w:pPr>
            <w:r>
              <w:rPr>
                <w:sz w:val="20"/>
              </w:rPr>
              <w:t xml:space="preserve">Объем обезвоженного осадка сточных вод</w:t>
            </w:r>
          </w:p>
        </w:tc>
        <w:tc>
          <w:tcPr>
            <w:tcW w:w="1435" w:type="dxa"/>
            <w:vAlign w:val="center"/>
          </w:tcPr>
          <w:p>
            <w:pPr>
              <w:pStyle w:val="0"/>
              <w:jc w:val="center"/>
            </w:pPr>
            <w:r>
              <w:rPr>
                <w:sz w:val="20"/>
              </w:rPr>
              <w:t xml:space="preserve">тыс. куб. м</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r>
        <w:tc>
          <w:tcPr>
            <w:tcW w:w="1134" w:type="dxa"/>
            <w:vAlign w:val="center"/>
          </w:tcPr>
          <w:p>
            <w:pPr>
              <w:pStyle w:val="0"/>
            </w:pPr>
            <w:r>
              <w:rPr>
                <w:sz w:val="20"/>
              </w:rPr>
              <w:t xml:space="preserve">5</w:t>
            </w:r>
          </w:p>
        </w:tc>
        <w:tc>
          <w:tcPr>
            <w:tcW w:w="5272" w:type="dxa"/>
          </w:tcPr>
          <w:p>
            <w:pPr>
              <w:pStyle w:val="0"/>
            </w:pPr>
            <w:r>
              <w:rPr>
                <w:sz w:val="20"/>
              </w:rPr>
              <w:t xml:space="preserve">Темп изменения объема отводимых сточных вод</w:t>
            </w:r>
          </w:p>
        </w:tc>
        <w:tc>
          <w:tcPr>
            <w:tcW w:w="1435" w:type="dxa"/>
            <w:vAlign w:val="center"/>
          </w:tcPr>
          <w:p>
            <w:pPr>
              <w:pStyle w:val="0"/>
              <w:jc w:val="center"/>
            </w:pPr>
            <w:r>
              <w:rPr>
                <w:sz w:val="20"/>
              </w:rPr>
              <w:t xml:space="preserve">%</w:t>
            </w:r>
          </w:p>
        </w:tc>
        <w:tc>
          <w:tcPr>
            <w:tcW w:w="864"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10" w:type="dxa"/>
            <w:vAlign w:val="center"/>
          </w:tcPr>
          <w:p>
            <w:pPr>
              <w:pStyle w:val="0"/>
            </w:pPr>
            <w:r>
              <w:rPr>
                <w:sz w:val="20"/>
              </w:rPr>
            </w:r>
          </w:p>
        </w:tc>
        <w:tc>
          <w:tcPr>
            <w:tcW w:w="715" w:type="dxa"/>
            <w:vAlign w:val="center"/>
          </w:tcPr>
          <w:p>
            <w:pPr>
              <w:pStyle w:val="0"/>
            </w:pPr>
            <w:r>
              <w:rPr>
                <w:sz w:val="20"/>
              </w:rPr>
            </w:r>
          </w:p>
        </w:tc>
        <w:tc>
          <w:tcPr>
            <w:tcW w:w="854" w:type="dxa"/>
            <w:vAlign w:val="center"/>
          </w:tcPr>
          <w:p>
            <w:pPr>
              <w:pStyle w:val="0"/>
            </w:pPr>
            <w:r>
              <w:rPr>
                <w:sz w:val="20"/>
              </w:rPr>
            </w:r>
          </w:p>
        </w:tc>
        <w:tc>
          <w:tcPr>
            <w:tcW w:w="1077" w:type="dxa"/>
            <w:vAlign w:val="center"/>
          </w:tcPr>
          <w:p>
            <w:pPr>
              <w:pStyle w:val="0"/>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86"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color w:val="392c69"/>
              </w:rPr>
              <w:t xml:space="preserve"> ФСТ России от 24.11.2014 N 2054-э,</w:t>
            </w:r>
          </w:p>
          <w:p>
            <w:pPr>
              <w:pStyle w:val="0"/>
              <w:jc w:val="center"/>
            </w:pPr>
            <w:hyperlink w:history="0" r:id="rId487"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color w:val="392c69"/>
              </w:rPr>
              <w:t xml:space="preserve"> ФАС России от 15.07.2024 N 473/24)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Смета расходов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402"/>
        <w:gridCol w:w="1048"/>
        <w:gridCol w:w="755"/>
        <w:gridCol w:w="737"/>
        <w:gridCol w:w="854"/>
        <w:gridCol w:w="737"/>
        <w:gridCol w:w="850"/>
      </w:tblGrid>
      <w:tr>
        <w:tc>
          <w:tcPr>
            <w:tcW w:w="680" w:type="dxa"/>
            <w:vMerge w:val="restart"/>
          </w:tcPr>
          <w:p>
            <w:pPr>
              <w:pStyle w:val="0"/>
              <w:jc w:val="center"/>
            </w:pPr>
            <w:r>
              <w:rPr>
                <w:sz w:val="20"/>
              </w:rPr>
              <w:t xml:space="preserve">N п/п</w:t>
            </w:r>
          </w:p>
        </w:tc>
        <w:tc>
          <w:tcPr>
            <w:tcW w:w="3402" w:type="dxa"/>
            <w:vMerge w:val="restart"/>
          </w:tcPr>
          <w:p>
            <w:pPr>
              <w:pStyle w:val="0"/>
              <w:jc w:val="center"/>
            </w:pPr>
            <w:r>
              <w:rPr>
                <w:sz w:val="20"/>
              </w:rPr>
              <w:t xml:space="preserve">Наименование</w:t>
            </w:r>
          </w:p>
        </w:tc>
        <w:tc>
          <w:tcPr>
            <w:tcW w:w="1048" w:type="dxa"/>
            <w:vMerge w:val="restart"/>
          </w:tcPr>
          <w:p>
            <w:pPr>
              <w:pStyle w:val="0"/>
              <w:jc w:val="center"/>
            </w:pPr>
            <w:r>
              <w:rPr>
                <w:sz w:val="20"/>
              </w:rPr>
              <w:t xml:space="preserve">Единица измерений</w:t>
            </w:r>
          </w:p>
        </w:tc>
        <w:tc>
          <w:tcPr>
            <w:gridSpan w:val="2"/>
            <w:tcW w:w="1492" w:type="dxa"/>
          </w:tcPr>
          <w:p>
            <w:pPr>
              <w:pStyle w:val="0"/>
              <w:jc w:val="center"/>
            </w:pPr>
            <w:r>
              <w:rPr>
                <w:sz w:val="20"/>
              </w:rPr>
              <w:t xml:space="preserve">Истекший год (i-2)</w:t>
            </w:r>
          </w:p>
        </w:tc>
        <w:tc>
          <w:tcPr>
            <w:gridSpan w:val="2"/>
            <w:tcW w:w="1591" w:type="dxa"/>
          </w:tcPr>
          <w:p>
            <w:pPr>
              <w:pStyle w:val="0"/>
              <w:jc w:val="center"/>
            </w:pPr>
            <w:r>
              <w:rPr>
                <w:sz w:val="20"/>
              </w:rPr>
              <w:t xml:space="preserve">Текущий год (i-1)</w:t>
            </w:r>
          </w:p>
        </w:tc>
        <w:tc>
          <w:tcPr>
            <w:tcW w:w="850"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755"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854" w:type="dxa"/>
          </w:tcPr>
          <w:p>
            <w:pPr>
              <w:pStyle w:val="0"/>
              <w:jc w:val="center"/>
            </w:pPr>
            <w:r>
              <w:rPr>
                <w:sz w:val="20"/>
              </w:rPr>
              <w:t xml:space="preserve">план</w:t>
            </w:r>
          </w:p>
        </w:tc>
        <w:tc>
          <w:tcPr>
            <w:tcW w:w="737" w:type="dxa"/>
          </w:tcPr>
          <w:p>
            <w:pPr>
              <w:pStyle w:val="0"/>
              <w:jc w:val="center"/>
            </w:pPr>
            <w:r>
              <w:rPr>
                <w:sz w:val="20"/>
              </w:rPr>
              <w:t xml:space="preserve">ожид</w:t>
            </w:r>
          </w:p>
        </w:tc>
        <w:tc>
          <w:tcPr>
            <w:vMerge w:val="continue"/>
          </w:tcPr>
          <w:p/>
        </w:tc>
      </w:tr>
      <w:tr>
        <w:tc>
          <w:tcPr>
            <w:tcW w:w="680" w:type="dxa"/>
          </w:tcPr>
          <w:p>
            <w:pPr>
              <w:pStyle w:val="0"/>
              <w:jc w:val="center"/>
            </w:pPr>
            <w:r>
              <w:rPr>
                <w:sz w:val="20"/>
              </w:rPr>
              <w:t xml:space="preserve">1</w:t>
            </w:r>
          </w:p>
        </w:tc>
        <w:tc>
          <w:tcPr>
            <w:tcW w:w="3402" w:type="dxa"/>
          </w:tcPr>
          <w:p>
            <w:pPr>
              <w:pStyle w:val="0"/>
              <w:jc w:val="center"/>
            </w:pPr>
            <w:r>
              <w:rPr>
                <w:sz w:val="20"/>
              </w:rPr>
              <w:t xml:space="preserve">2</w:t>
            </w:r>
          </w:p>
        </w:tc>
        <w:tc>
          <w:tcPr>
            <w:tcW w:w="1048" w:type="dxa"/>
          </w:tcPr>
          <w:p>
            <w:pPr>
              <w:pStyle w:val="0"/>
              <w:jc w:val="center"/>
            </w:pPr>
            <w:r>
              <w:rPr>
                <w:sz w:val="20"/>
              </w:rPr>
              <w:t xml:space="preserve">3</w:t>
            </w:r>
          </w:p>
        </w:tc>
        <w:tc>
          <w:tcPr>
            <w:tcW w:w="755" w:type="dxa"/>
          </w:tcPr>
          <w:p>
            <w:pPr>
              <w:pStyle w:val="0"/>
              <w:jc w:val="center"/>
            </w:pPr>
            <w:r>
              <w:rPr>
                <w:sz w:val="20"/>
              </w:rPr>
              <w:t xml:space="preserve">4</w:t>
            </w:r>
          </w:p>
        </w:tc>
        <w:tc>
          <w:tcPr>
            <w:tcW w:w="737" w:type="dxa"/>
          </w:tcPr>
          <w:p>
            <w:pPr>
              <w:pStyle w:val="0"/>
              <w:jc w:val="center"/>
            </w:pPr>
            <w:r>
              <w:rPr>
                <w:sz w:val="20"/>
              </w:rPr>
              <w:t xml:space="preserve">5</w:t>
            </w:r>
          </w:p>
        </w:tc>
        <w:tc>
          <w:tcPr>
            <w:tcW w:w="854" w:type="dxa"/>
          </w:tcPr>
          <w:p>
            <w:pPr>
              <w:pStyle w:val="0"/>
              <w:jc w:val="center"/>
            </w:pPr>
            <w:r>
              <w:rPr>
                <w:sz w:val="20"/>
              </w:rPr>
              <w:t xml:space="preserve">6</w:t>
            </w:r>
          </w:p>
        </w:tc>
        <w:tc>
          <w:tcPr>
            <w:tcW w:w="737" w:type="dxa"/>
          </w:tcPr>
          <w:p>
            <w:pPr>
              <w:pStyle w:val="0"/>
              <w:jc w:val="center"/>
            </w:pPr>
            <w:r>
              <w:rPr>
                <w:sz w:val="20"/>
              </w:rPr>
              <w:t xml:space="preserve">7</w:t>
            </w:r>
          </w:p>
        </w:tc>
        <w:tc>
          <w:tcPr>
            <w:tcW w:w="850" w:type="dxa"/>
          </w:tcPr>
          <w:p>
            <w:pPr>
              <w:pStyle w:val="0"/>
              <w:jc w:val="center"/>
            </w:pPr>
            <w:r>
              <w:rPr>
                <w:sz w:val="20"/>
              </w:rPr>
              <w:t xml:space="preserve">8</w:t>
            </w:r>
          </w:p>
        </w:tc>
      </w:tr>
      <w:tr>
        <w:tc>
          <w:tcPr>
            <w:tcW w:w="680" w:type="dxa"/>
            <w:vAlign w:val="center"/>
          </w:tcPr>
          <w:p>
            <w:pPr>
              <w:pStyle w:val="0"/>
            </w:pPr>
            <w:r>
              <w:rPr>
                <w:sz w:val="20"/>
              </w:rPr>
              <w:t xml:space="preserve">1</w:t>
            </w:r>
          </w:p>
        </w:tc>
        <w:tc>
          <w:tcPr>
            <w:tcW w:w="3402" w:type="dxa"/>
          </w:tcPr>
          <w:p>
            <w:pPr>
              <w:pStyle w:val="0"/>
              <w:jc w:val="both"/>
            </w:pPr>
            <w:r>
              <w:rPr>
                <w:sz w:val="20"/>
              </w:rPr>
              <w:t xml:space="preserve">Производственные расходы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1.1</w:t>
            </w:r>
          </w:p>
        </w:tc>
        <w:tc>
          <w:tcPr>
            <w:tcW w:w="3402" w:type="dxa"/>
          </w:tcPr>
          <w:p>
            <w:pPr>
              <w:pStyle w:val="0"/>
              <w:ind w:firstLine="163"/>
              <w:jc w:val="both"/>
            </w:pPr>
            <w:r>
              <w:rPr>
                <w:sz w:val="20"/>
              </w:rPr>
              <w:t xml:space="preserve">Расходы на приобретение сырья и материалов и их хранение, в том числе необходимых для эксплуатации цифровой инфраструктуры в сфере водоснабжения и водоотведения</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1.1.1</w:t>
            </w:r>
          </w:p>
        </w:tc>
        <w:tc>
          <w:tcPr>
            <w:tcW w:w="3402" w:type="dxa"/>
          </w:tcPr>
          <w:p>
            <w:pPr>
              <w:pStyle w:val="0"/>
              <w:ind w:firstLine="540"/>
              <w:jc w:val="both"/>
            </w:pPr>
            <w:r>
              <w:rPr>
                <w:sz w:val="20"/>
              </w:rPr>
              <w:t xml:space="preserve">Реагенты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1.1.2</w:t>
            </w:r>
          </w:p>
        </w:tc>
        <w:tc>
          <w:tcPr>
            <w:tcW w:w="3402" w:type="dxa"/>
          </w:tcPr>
          <w:p>
            <w:pPr>
              <w:pStyle w:val="0"/>
              <w:ind w:firstLine="540"/>
              <w:jc w:val="both"/>
            </w:pPr>
            <w:r>
              <w:rPr>
                <w:sz w:val="20"/>
              </w:rPr>
              <w:t xml:space="preserve">Горюче-смазочные материалы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1.1.3</w:t>
            </w:r>
          </w:p>
        </w:tc>
        <w:tc>
          <w:tcPr>
            <w:tcW w:w="3402" w:type="dxa"/>
          </w:tcPr>
          <w:p>
            <w:pPr>
              <w:pStyle w:val="0"/>
              <w:ind w:firstLine="540"/>
              <w:jc w:val="both"/>
            </w:pPr>
            <w:r>
              <w:rPr>
                <w:sz w:val="20"/>
              </w:rPr>
              <w:t xml:space="preserve">Материалы и малоценные основные средства</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1.2</w:t>
            </w:r>
          </w:p>
        </w:tc>
        <w:tc>
          <w:tcPr>
            <w:tcW w:w="3402" w:type="dxa"/>
          </w:tcPr>
          <w:p>
            <w:pPr>
              <w:pStyle w:val="0"/>
              <w:ind w:firstLine="163"/>
              <w:jc w:val="both"/>
            </w:pPr>
            <w:r>
              <w:rPr>
                <w:sz w:val="20"/>
              </w:rPr>
              <w:t xml:space="preserve">Расходы на энергетические ресурсы и холодную воду</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1.2.1</w:t>
            </w:r>
          </w:p>
        </w:tc>
        <w:tc>
          <w:tcPr>
            <w:tcW w:w="3402" w:type="dxa"/>
          </w:tcPr>
          <w:p>
            <w:pPr>
              <w:pStyle w:val="0"/>
              <w:ind w:firstLine="540"/>
              <w:jc w:val="both"/>
            </w:pPr>
            <w:r>
              <w:rPr>
                <w:sz w:val="20"/>
              </w:rPr>
              <w:t xml:space="preserve">электроэнергия</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1.2.2</w:t>
            </w:r>
          </w:p>
        </w:tc>
        <w:tc>
          <w:tcPr>
            <w:tcW w:w="3402" w:type="dxa"/>
          </w:tcPr>
          <w:p>
            <w:pPr>
              <w:pStyle w:val="0"/>
              <w:ind w:firstLine="540"/>
              <w:jc w:val="both"/>
            </w:pPr>
            <w:r>
              <w:rPr>
                <w:sz w:val="20"/>
              </w:rPr>
              <w:t xml:space="preserve">теплоэнергия</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1.2.3</w:t>
            </w:r>
          </w:p>
        </w:tc>
        <w:tc>
          <w:tcPr>
            <w:tcW w:w="3402" w:type="dxa"/>
          </w:tcPr>
          <w:p>
            <w:pPr>
              <w:pStyle w:val="0"/>
              <w:ind w:firstLine="540"/>
              <w:jc w:val="both"/>
            </w:pPr>
            <w:r>
              <w:rPr>
                <w:sz w:val="20"/>
              </w:rPr>
              <w:t xml:space="preserve">теплоноситель</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1.2.4</w:t>
            </w:r>
          </w:p>
        </w:tc>
        <w:tc>
          <w:tcPr>
            <w:tcW w:w="3402" w:type="dxa"/>
          </w:tcPr>
          <w:p>
            <w:pPr>
              <w:pStyle w:val="0"/>
              <w:ind w:firstLine="540"/>
              <w:jc w:val="both"/>
            </w:pPr>
            <w:r>
              <w:rPr>
                <w:sz w:val="20"/>
              </w:rPr>
              <w:t xml:space="preserve">топливо</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1.2.5</w:t>
            </w:r>
          </w:p>
        </w:tc>
        <w:tc>
          <w:tcPr>
            <w:tcW w:w="3402" w:type="dxa"/>
          </w:tcPr>
          <w:p>
            <w:pPr>
              <w:pStyle w:val="0"/>
              <w:ind w:firstLine="540"/>
              <w:jc w:val="both"/>
            </w:pPr>
            <w:r>
              <w:rPr>
                <w:sz w:val="20"/>
              </w:rPr>
              <w:t xml:space="preserve">холодная вода</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1.3</w:t>
            </w:r>
          </w:p>
        </w:tc>
        <w:tc>
          <w:tcPr>
            <w:tcW w:w="3402" w:type="dxa"/>
          </w:tcPr>
          <w:p>
            <w:pPr>
              <w:pStyle w:val="0"/>
              <w:ind w:firstLine="163"/>
              <w:jc w:val="both"/>
            </w:pPr>
            <w:r>
              <w:rPr>
                <w:sz w:val="20"/>
              </w:rPr>
              <w:t xml:space="preserve">Расходы на оплату работ и услуг, выполняемых сторонними организациями и индивидуальными предпринимателями, связанные с эксплуатацией централизованных систем либо объектов в составе таких систем</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1.4</w:t>
            </w:r>
          </w:p>
        </w:tc>
        <w:tc>
          <w:tcPr>
            <w:tcW w:w="3402" w:type="dxa"/>
          </w:tcPr>
          <w:p>
            <w:pPr>
              <w:pStyle w:val="0"/>
              <w:ind w:firstLine="163"/>
              <w:jc w:val="both"/>
            </w:pPr>
            <w:r>
              <w:rPr>
                <w:sz w:val="20"/>
              </w:rPr>
              <w:t xml:space="preserve">Расходы на оплату труда и отчисления на социальные нужды основного производственного персонала, в том числе налоги и сборы: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1.4.1</w:t>
            </w:r>
          </w:p>
        </w:tc>
        <w:tc>
          <w:tcPr>
            <w:tcW w:w="3402" w:type="dxa"/>
          </w:tcPr>
          <w:p>
            <w:pPr>
              <w:pStyle w:val="0"/>
              <w:ind w:firstLine="523"/>
              <w:jc w:val="both"/>
            </w:pPr>
            <w:r>
              <w:rPr>
                <w:sz w:val="20"/>
              </w:rPr>
              <w:t xml:space="preserve">Расходы на оплату труда производственного персонала</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1.4.2</w:t>
            </w:r>
          </w:p>
        </w:tc>
        <w:tc>
          <w:tcPr>
            <w:tcW w:w="3402" w:type="dxa"/>
          </w:tcPr>
          <w:p>
            <w:pPr>
              <w:pStyle w:val="0"/>
              <w:ind w:firstLine="540"/>
              <w:jc w:val="both"/>
            </w:pPr>
            <w:r>
              <w:rPr>
                <w:sz w:val="20"/>
              </w:rPr>
              <w:t xml:space="preserve">Отчисления на социальные нужды производственного персонала, в том числе налоги и сборы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1.5</w:t>
            </w:r>
          </w:p>
        </w:tc>
        <w:tc>
          <w:tcPr>
            <w:tcW w:w="3402" w:type="dxa"/>
          </w:tcPr>
          <w:p>
            <w:pPr>
              <w:pStyle w:val="0"/>
              <w:ind w:firstLine="163"/>
              <w:jc w:val="both"/>
            </w:pPr>
            <w:r>
              <w:rPr>
                <w:sz w:val="20"/>
              </w:rPr>
              <w:t xml:space="preserve">Расходы на уплату процентов по займам и кредитам</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1.6</w:t>
            </w:r>
          </w:p>
        </w:tc>
        <w:tc>
          <w:tcPr>
            <w:tcW w:w="3402" w:type="dxa"/>
          </w:tcPr>
          <w:p>
            <w:pPr>
              <w:pStyle w:val="0"/>
              <w:ind w:firstLine="163"/>
              <w:jc w:val="both"/>
            </w:pPr>
            <w:r>
              <w:rPr>
                <w:sz w:val="20"/>
              </w:rPr>
              <w:t xml:space="preserve">Общехозяйственные расходы, в том числе расходы на оплату работ и (или) услуг по эксплуатации цифровой инфраструктуры в сфере водоснабжения и водоотведения, выполняемых по договорам сторонними организациями, определяемые в соответствии с Методическими указаниями</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1.7</w:t>
            </w:r>
          </w:p>
        </w:tc>
        <w:tc>
          <w:tcPr>
            <w:tcW w:w="3402" w:type="dxa"/>
          </w:tcPr>
          <w:p>
            <w:pPr>
              <w:pStyle w:val="0"/>
              <w:ind w:firstLine="163"/>
              <w:jc w:val="both"/>
            </w:pPr>
            <w:r>
              <w:rPr>
                <w:sz w:val="20"/>
              </w:rPr>
              <w:t xml:space="preserve">Прочие производственные расходы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1.7.1</w:t>
            </w:r>
          </w:p>
        </w:tc>
        <w:tc>
          <w:tcPr>
            <w:tcW w:w="3402" w:type="dxa"/>
          </w:tcPr>
          <w:p>
            <w:pPr>
              <w:pStyle w:val="0"/>
              <w:ind w:firstLine="540"/>
              <w:jc w:val="both"/>
            </w:pPr>
            <w:r>
              <w:rPr>
                <w:sz w:val="20"/>
              </w:rPr>
              <w:t xml:space="preserve">Услуги по обращению с осадком сточных вод</w:t>
            </w:r>
          </w:p>
        </w:tc>
        <w:tc>
          <w:tcPr>
            <w:tcW w:w="1048" w:type="dxa"/>
            <w:vAlign w:val="center"/>
          </w:tcPr>
          <w:p>
            <w:pPr>
              <w:pStyle w:val="0"/>
            </w:pPr>
            <w:r>
              <w:rPr>
                <w:sz w:val="20"/>
              </w:rPr>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1.7.2</w:t>
            </w:r>
          </w:p>
        </w:tc>
        <w:tc>
          <w:tcPr>
            <w:tcW w:w="3402" w:type="dxa"/>
          </w:tcPr>
          <w:p>
            <w:pPr>
              <w:pStyle w:val="0"/>
              <w:ind w:firstLine="540"/>
              <w:jc w:val="both"/>
            </w:pPr>
            <w:r>
              <w:rPr>
                <w:sz w:val="20"/>
              </w:rPr>
              <w:t xml:space="preserve">Расходы на амортизацию автотранспорта</w:t>
            </w:r>
          </w:p>
        </w:tc>
        <w:tc>
          <w:tcPr>
            <w:tcW w:w="1048" w:type="dxa"/>
            <w:vAlign w:val="center"/>
          </w:tcPr>
          <w:p>
            <w:pPr>
              <w:pStyle w:val="0"/>
            </w:pPr>
            <w:r>
              <w:rPr>
                <w:sz w:val="20"/>
              </w:rPr>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1.7.3</w:t>
            </w:r>
          </w:p>
        </w:tc>
        <w:tc>
          <w:tcPr>
            <w:tcW w:w="3402" w:type="dxa"/>
          </w:tcPr>
          <w:p>
            <w:pPr>
              <w:pStyle w:val="0"/>
              <w:ind w:firstLine="540"/>
              <w:jc w:val="both"/>
            </w:pPr>
            <w:r>
              <w:rPr>
                <w:sz w:val="20"/>
              </w:rPr>
              <w:t xml:space="preserve">Контроль качества воды и сточных вод</w:t>
            </w:r>
          </w:p>
        </w:tc>
        <w:tc>
          <w:tcPr>
            <w:tcW w:w="1048" w:type="dxa"/>
            <w:vAlign w:val="center"/>
          </w:tcPr>
          <w:p>
            <w:pPr>
              <w:pStyle w:val="0"/>
            </w:pPr>
            <w:r>
              <w:rPr>
                <w:sz w:val="20"/>
              </w:rPr>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1.7.4</w:t>
            </w:r>
          </w:p>
        </w:tc>
        <w:tc>
          <w:tcPr>
            <w:tcW w:w="3402" w:type="dxa"/>
          </w:tcPr>
          <w:p>
            <w:pPr>
              <w:pStyle w:val="0"/>
              <w:ind w:firstLine="540"/>
              <w:jc w:val="both"/>
            </w:pPr>
            <w:r>
              <w:rPr>
                <w:sz w:val="20"/>
              </w:rPr>
              <w:t xml:space="preserve">Расходы на аварийно-диспетчерское обслуживание</w:t>
            </w:r>
          </w:p>
        </w:tc>
        <w:tc>
          <w:tcPr>
            <w:tcW w:w="1048" w:type="dxa"/>
            <w:vAlign w:val="center"/>
          </w:tcPr>
          <w:p>
            <w:pPr>
              <w:pStyle w:val="0"/>
            </w:pPr>
            <w:r>
              <w:rPr>
                <w:sz w:val="20"/>
              </w:rPr>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2</w:t>
            </w:r>
          </w:p>
        </w:tc>
        <w:tc>
          <w:tcPr>
            <w:tcW w:w="3402" w:type="dxa"/>
          </w:tcPr>
          <w:p>
            <w:pPr>
              <w:pStyle w:val="0"/>
              <w:jc w:val="both"/>
            </w:pPr>
            <w:r>
              <w:rPr>
                <w:sz w:val="20"/>
              </w:rPr>
              <w:t xml:space="preserve">Ремонтные расходы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2.1</w:t>
            </w:r>
          </w:p>
        </w:tc>
        <w:tc>
          <w:tcPr>
            <w:tcW w:w="3402" w:type="dxa"/>
          </w:tcPr>
          <w:p>
            <w:pPr>
              <w:pStyle w:val="0"/>
              <w:ind w:firstLine="163"/>
              <w:jc w:val="both"/>
            </w:pPr>
            <w:r>
              <w:rPr>
                <w:sz w:val="20"/>
              </w:rPr>
              <w:t xml:space="preserve">Расходы на текущий ремонт централизованных систем водоснабжения и (или) водоотведения либо объектов, входящих в состав таких систем</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2.2</w:t>
            </w:r>
          </w:p>
        </w:tc>
        <w:tc>
          <w:tcPr>
            <w:tcW w:w="3402" w:type="dxa"/>
          </w:tcPr>
          <w:p>
            <w:pPr>
              <w:pStyle w:val="0"/>
              <w:ind w:firstLine="163"/>
              <w:jc w:val="both"/>
            </w:pPr>
            <w:r>
              <w:rPr>
                <w:sz w:val="20"/>
              </w:rPr>
              <w:t xml:space="preserve">Расходы на капитальный ремонт централизованных систем водоснабжения и (или) водоотведения либо объектов, входящих в состав таких систем</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2.3</w:t>
            </w:r>
          </w:p>
        </w:tc>
        <w:tc>
          <w:tcPr>
            <w:tcW w:w="3402" w:type="dxa"/>
          </w:tcPr>
          <w:p>
            <w:pPr>
              <w:pStyle w:val="0"/>
              <w:ind w:firstLine="163"/>
              <w:jc w:val="both"/>
            </w:pPr>
            <w:r>
              <w:rPr>
                <w:sz w:val="20"/>
              </w:rPr>
              <w:t xml:space="preserve">Расходы на оплату труда и отчисления на социальные нужды ремонтного персонала, в том числе налоги и сборы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2.3.1</w:t>
            </w:r>
          </w:p>
        </w:tc>
        <w:tc>
          <w:tcPr>
            <w:tcW w:w="3402" w:type="dxa"/>
          </w:tcPr>
          <w:p>
            <w:pPr>
              <w:pStyle w:val="0"/>
              <w:ind w:firstLine="540"/>
              <w:jc w:val="both"/>
            </w:pPr>
            <w:r>
              <w:rPr>
                <w:sz w:val="20"/>
              </w:rPr>
              <w:t xml:space="preserve">Расходы на оплату труда ремонтного персонала</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2.3.2</w:t>
            </w:r>
          </w:p>
        </w:tc>
        <w:tc>
          <w:tcPr>
            <w:tcW w:w="3402" w:type="dxa"/>
          </w:tcPr>
          <w:p>
            <w:pPr>
              <w:pStyle w:val="0"/>
              <w:ind w:firstLine="540"/>
              <w:jc w:val="both"/>
            </w:pPr>
            <w:r>
              <w:rPr>
                <w:sz w:val="20"/>
              </w:rPr>
              <w:t xml:space="preserve">Отчисления на социальные нужды ремонтного персонала, в том числе налоги и сборы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w:t>
            </w:r>
          </w:p>
        </w:tc>
        <w:tc>
          <w:tcPr>
            <w:tcW w:w="3402" w:type="dxa"/>
          </w:tcPr>
          <w:p>
            <w:pPr>
              <w:pStyle w:val="0"/>
              <w:jc w:val="both"/>
            </w:pPr>
            <w:r>
              <w:rPr>
                <w:sz w:val="20"/>
              </w:rPr>
              <w:t xml:space="preserve">Административные расходы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3.1</w:t>
            </w:r>
          </w:p>
        </w:tc>
        <w:tc>
          <w:tcPr>
            <w:tcW w:w="3402" w:type="dxa"/>
          </w:tcPr>
          <w:p>
            <w:pPr>
              <w:pStyle w:val="0"/>
              <w:ind w:firstLine="163"/>
              <w:jc w:val="both"/>
            </w:pPr>
            <w:r>
              <w:rPr>
                <w:sz w:val="20"/>
              </w:rPr>
              <w:t xml:space="preserve">Расходы на оплату работ и услуг, выполняемых сторонними организациями</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3.1.1</w:t>
            </w:r>
          </w:p>
        </w:tc>
        <w:tc>
          <w:tcPr>
            <w:tcW w:w="3402" w:type="dxa"/>
          </w:tcPr>
          <w:p>
            <w:pPr>
              <w:pStyle w:val="0"/>
              <w:ind w:firstLine="540"/>
              <w:jc w:val="both"/>
            </w:pPr>
            <w:r>
              <w:rPr>
                <w:sz w:val="20"/>
              </w:rPr>
              <w:t xml:space="preserve">услуги связи и интернет</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3.1.2</w:t>
            </w:r>
          </w:p>
        </w:tc>
        <w:tc>
          <w:tcPr>
            <w:tcW w:w="3402" w:type="dxa"/>
          </w:tcPr>
          <w:p>
            <w:pPr>
              <w:pStyle w:val="0"/>
              <w:ind w:firstLine="540"/>
              <w:jc w:val="both"/>
            </w:pPr>
            <w:r>
              <w:rPr>
                <w:sz w:val="20"/>
              </w:rPr>
              <w:t xml:space="preserve">юридические услуги</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3.1.3</w:t>
            </w:r>
          </w:p>
        </w:tc>
        <w:tc>
          <w:tcPr>
            <w:tcW w:w="3402" w:type="dxa"/>
          </w:tcPr>
          <w:p>
            <w:pPr>
              <w:pStyle w:val="0"/>
              <w:ind w:firstLine="540"/>
              <w:jc w:val="both"/>
            </w:pPr>
            <w:r>
              <w:rPr>
                <w:sz w:val="20"/>
              </w:rPr>
              <w:t xml:space="preserve">аудиторские услуги</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3.1.4</w:t>
            </w:r>
          </w:p>
        </w:tc>
        <w:tc>
          <w:tcPr>
            <w:tcW w:w="3402" w:type="dxa"/>
          </w:tcPr>
          <w:p>
            <w:pPr>
              <w:pStyle w:val="0"/>
              <w:ind w:firstLine="540"/>
              <w:jc w:val="both"/>
            </w:pPr>
            <w:r>
              <w:rPr>
                <w:sz w:val="20"/>
              </w:rPr>
              <w:t xml:space="preserve">консультационные услуги</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3.1.5</w:t>
            </w:r>
          </w:p>
        </w:tc>
        <w:tc>
          <w:tcPr>
            <w:tcW w:w="3402" w:type="dxa"/>
          </w:tcPr>
          <w:p>
            <w:pPr>
              <w:pStyle w:val="0"/>
              <w:ind w:firstLine="540"/>
              <w:jc w:val="both"/>
            </w:pPr>
            <w:r>
              <w:rPr>
                <w:sz w:val="20"/>
              </w:rPr>
              <w:t xml:space="preserve">услуги по вневедомственной охране объектов и территорий</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3.1.6</w:t>
            </w:r>
          </w:p>
        </w:tc>
        <w:tc>
          <w:tcPr>
            <w:tcW w:w="3402" w:type="dxa"/>
          </w:tcPr>
          <w:p>
            <w:pPr>
              <w:pStyle w:val="0"/>
              <w:ind w:firstLine="540"/>
              <w:jc w:val="both"/>
            </w:pPr>
            <w:r>
              <w:rPr>
                <w:sz w:val="20"/>
              </w:rPr>
              <w:t xml:space="preserve">информационные услуги</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3.2</w:t>
            </w:r>
          </w:p>
        </w:tc>
        <w:tc>
          <w:tcPr>
            <w:tcW w:w="3402" w:type="dxa"/>
          </w:tcPr>
          <w:p>
            <w:pPr>
              <w:pStyle w:val="0"/>
              <w:ind w:firstLine="163"/>
              <w:jc w:val="both"/>
            </w:pPr>
            <w:r>
              <w:rPr>
                <w:sz w:val="20"/>
              </w:rPr>
              <w:t xml:space="preserve">Расходы на оплату труда и отчисления на социальные нужды административно-управленческого персонала, в том числе налоги и сборы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3.2.1</w:t>
            </w:r>
          </w:p>
        </w:tc>
        <w:tc>
          <w:tcPr>
            <w:tcW w:w="3402" w:type="dxa"/>
          </w:tcPr>
          <w:p>
            <w:pPr>
              <w:pStyle w:val="0"/>
              <w:ind w:firstLine="540"/>
              <w:jc w:val="both"/>
            </w:pPr>
            <w:r>
              <w:rPr>
                <w:sz w:val="20"/>
              </w:rPr>
              <w:t xml:space="preserve">Расходы на оплату труда административно-управленческого персонала</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3.2.2</w:t>
            </w:r>
          </w:p>
        </w:tc>
        <w:tc>
          <w:tcPr>
            <w:tcW w:w="3402" w:type="dxa"/>
          </w:tcPr>
          <w:p>
            <w:pPr>
              <w:pStyle w:val="0"/>
              <w:ind w:firstLine="540"/>
              <w:jc w:val="both"/>
            </w:pPr>
            <w:r>
              <w:rPr>
                <w:sz w:val="20"/>
              </w:rPr>
              <w:t xml:space="preserve">Отчисления на социальные нужды административно-управленческого персонала, в том числе налоги и сборы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3.3</w:t>
            </w:r>
          </w:p>
        </w:tc>
        <w:tc>
          <w:tcPr>
            <w:tcW w:w="3402" w:type="dxa"/>
          </w:tcPr>
          <w:p>
            <w:pPr>
              <w:pStyle w:val="0"/>
              <w:ind w:firstLine="163"/>
              <w:jc w:val="both"/>
            </w:pPr>
            <w:r>
              <w:rPr>
                <w:sz w:val="20"/>
              </w:rPr>
              <w:t xml:space="preserve">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3.4</w:t>
            </w:r>
          </w:p>
        </w:tc>
        <w:tc>
          <w:tcPr>
            <w:tcW w:w="3402" w:type="dxa"/>
          </w:tcPr>
          <w:p>
            <w:pPr>
              <w:pStyle w:val="0"/>
              <w:ind w:firstLine="163"/>
              <w:jc w:val="both"/>
            </w:pPr>
            <w:r>
              <w:rPr>
                <w:sz w:val="20"/>
              </w:rPr>
              <w:t xml:space="preserve">Служебные командировки</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3.5</w:t>
            </w:r>
          </w:p>
        </w:tc>
        <w:tc>
          <w:tcPr>
            <w:tcW w:w="3402" w:type="dxa"/>
          </w:tcPr>
          <w:p>
            <w:pPr>
              <w:pStyle w:val="0"/>
              <w:ind w:firstLine="163"/>
              <w:jc w:val="both"/>
            </w:pPr>
            <w:r>
              <w:rPr>
                <w:sz w:val="20"/>
              </w:rPr>
              <w:t xml:space="preserve">Обучение персонала</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3.6</w:t>
            </w:r>
          </w:p>
        </w:tc>
        <w:tc>
          <w:tcPr>
            <w:tcW w:w="3402" w:type="dxa"/>
          </w:tcPr>
          <w:p>
            <w:pPr>
              <w:pStyle w:val="0"/>
              <w:ind w:firstLine="163"/>
              <w:jc w:val="both"/>
            </w:pPr>
            <w:r>
              <w:rPr>
                <w:sz w:val="20"/>
              </w:rPr>
              <w:t xml:space="preserve">Страхование производственных объектов</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3.7</w:t>
            </w:r>
          </w:p>
        </w:tc>
        <w:tc>
          <w:tcPr>
            <w:tcW w:w="3402" w:type="dxa"/>
          </w:tcPr>
          <w:p>
            <w:pPr>
              <w:pStyle w:val="0"/>
              <w:ind w:firstLine="163"/>
              <w:jc w:val="both"/>
            </w:pPr>
            <w:r>
              <w:rPr>
                <w:sz w:val="20"/>
              </w:rPr>
              <w:t xml:space="preserve">Прочие административные расходы</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3.7.1</w:t>
            </w:r>
          </w:p>
        </w:tc>
        <w:tc>
          <w:tcPr>
            <w:tcW w:w="3402" w:type="dxa"/>
          </w:tcPr>
          <w:p>
            <w:pPr>
              <w:pStyle w:val="0"/>
              <w:ind w:firstLine="163"/>
              <w:jc w:val="both"/>
            </w:pPr>
            <w:r>
              <w:rPr>
                <w:sz w:val="20"/>
              </w:rPr>
              <w:t xml:space="preserve">Расходы на амортизацию непроизводственных активов</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3.7.2</w:t>
            </w:r>
          </w:p>
        </w:tc>
        <w:tc>
          <w:tcPr>
            <w:tcW w:w="3402" w:type="dxa"/>
          </w:tcPr>
          <w:p>
            <w:pPr>
              <w:pStyle w:val="0"/>
              <w:ind w:firstLine="540"/>
              <w:jc w:val="both"/>
            </w:pPr>
            <w:r>
              <w:rPr>
                <w:sz w:val="20"/>
              </w:rPr>
              <w:t xml:space="preserve">Расходы по охране объектов и территорий</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4</w:t>
            </w:r>
          </w:p>
        </w:tc>
        <w:tc>
          <w:tcPr>
            <w:tcW w:w="3402" w:type="dxa"/>
          </w:tcPr>
          <w:p>
            <w:pPr>
              <w:pStyle w:val="0"/>
              <w:jc w:val="both"/>
            </w:pPr>
            <w:r>
              <w:rPr>
                <w:sz w:val="20"/>
              </w:rPr>
              <w:t xml:space="preserve">Сбытовые расходы гарантирующих организаций</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4.1</w:t>
            </w:r>
          </w:p>
        </w:tc>
        <w:tc>
          <w:tcPr>
            <w:tcW w:w="3402" w:type="dxa"/>
          </w:tcPr>
          <w:p>
            <w:pPr>
              <w:pStyle w:val="0"/>
              <w:ind w:firstLine="163"/>
              <w:jc w:val="both"/>
            </w:pPr>
            <w:r>
              <w:rPr>
                <w:sz w:val="20"/>
              </w:rPr>
              <w:t xml:space="preserve">Расходы по сомнительным долгам, в размере не более 2% НВВ</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5</w:t>
            </w:r>
          </w:p>
        </w:tc>
        <w:tc>
          <w:tcPr>
            <w:tcW w:w="3402" w:type="dxa"/>
          </w:tcPr>
          <w:p>
            <w:pPr>
              <w:pStyle w:val="0"/>
              <w:jc w:val="both"/>
            </w:pPr>
            <w:r>
              <w:rPr>
                <w:sz w:val="20"/>
              </w:rPr>
              <w:t xml:space="preserve">Амортизация</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5.1</w:t>
            </w:r>
          </w:p>
        </w:tc>
        <w:tc>
          <w:tcPr>
            <w:tcW w:w="3402" w:type="dxa"/>
          </w:tcPr>
          <w:p>
            <w:pPr>
              <w:pStyle w:val="0"/>
              <w:ind w:firstLine="163"/>
              <w:jc w:val="both"/>
            </w:pPr>
            <w:r>
              <w:rPr>
                <w:sz w:val="20"/>
              </w:rPr>
              <w:t xml:space="preserve">Амортизация основных средств и нематериальных активов, относимых к объектам централизованной системы водоснабжения и водоотведения</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6</w:t>
            </w:r>
          </w:p>
        </w:tc>
        <w:tc>
          <w:tcPr>
            <w:tcW w:w="3402" w:type="dxa"/>
          </w:tcPr>
          <w:p>
            <w:pPr>
              <w:pStyle w:val="0"/>
              <w:jc w:val="both"/>
            </w:pPr>
            <w:r>
              <w:rPr>
                <w:sz w:val="20"/>
              </w:rPr>
              <w:t xml:space="preserve">Расходы на арендную плату, лизинговые платежи, концессионную плату</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6.1</w:t>
            </w:r>
          </w:p>
        </w:tc>
        <w:tc>
          <w:tcPr>
            <w:tcW w:w="3402" w:type="dxa"/>
          </w:tcPr>
          <w:p>
            <w:pPr>
              <w:pStyle w:val="0"/>
              <w:ind w:firstLine="163"/>
              <w:jc w:val="both"/>
            </w:pPr>
            <w:r>
              <w:rPr>
                <w:sz w:val="20"/>
              </w:rPr>
              <w:t xml:space="preserve">Аренда имущества</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6.2</w:t>
            </w:r>
          </w:p>
        </w:tc>
        <w:tc>
          <w:tcPr>
            <w:tcW w:w="3402" w:type="dxa"/>
          </w:tcPr>
          <w:p>
            <w:pPr>
              <w:pStyle w:val="0"/>
              <w:ind w:firstLine="163"/>
              <w:jc w:val="both"/>
            </w:pPr>
            <w:r>
              <w:rPr>
                <w:sz w:val="20"/>
              </w:rPr>
              <w:t xml:space="preserve">Концессионная плата</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6.3</w:t>
            </w:r>
          </w:p>
        </w:tc>
        <w:tc>
          <w:tcPr>
            <w:tcW w:w="3402" w:type="dxa"/>
          </w:tcPr>
          <w:p>
            <w:pPr>
              <w:pStyle w:val="0"/>
              <w:ind w:firstLine="163"/>
              <w:jc w:val="both"/>
            </w:pPr>
            <w:r>
              <w:rPr>
                <w:sz w:val="20"/>
              </w:rPr>
              <w:t xml:space="preserve">Лизинговые платежи</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6.4</w:t>
            </w:r>
          </w:p>
        </w:tc>
        <w:tc>
          <w:tcPr>
            <w:tcW w:w="3402" w:type="dxa"/>
          </w:tcPr>
          <w:p>
            <w:pPr>
              <w:pStyle w:val="0"/>
              <w:ind w:firstLine="163"/>
              <w:jc w:val="both"/>
            </w:pPr>
            <w:r>
              <w:rPr>
                <w:sz w:val="20"/>
              </w:rPr>
              <w:t xml:space="preserve">Аренда земельных участков</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7</w:t>
            </w:r>
          </w:p>
        </w:tc>
        <w:tc>
          <w:tcPr>
            <w:tcW w:w="3402" w:type="dxa"/>
          </w:tcPr>
          <w:p>
            <w:pPr>
              <w:pStyle w:val="0"/>
              <w:jc w:val="both"/>
            </w:pPr>
            <w:r>
              <w:rPr>
                <w:sz w:val="20"/>
              </w:rPr>
              <w:t xml:space="preserve">Расходы, связанные с уплатой налогов и сборов</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7.1</w:t>
            </w:r>
          </w:p>
        </w:tc>
        <w:tc>
          <w:tcPr>
            <w:tcW w:w="3402" w:type="dxa"/>
          </w:tcPr>
          <w:p>
            <w:pPr>
              <w:pStyle w:val="0"/>
              <w:ind w:firstLine="163"/>
              <w:jc w:val="both"/>
            </w:pPr>
            <w:r>
              <w:rPr>
                <w:sz w:val="20"/>
              </w:rPr>
              <w:t xml:space="preserve">Налог на прибыль</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7.2</w:t>
            </w:r>
          </w:p>
        </w:tc>
        <w:tc>
          <w:tcPr>
            <w:tcW w:w="3402" w:type="dxa"/>
          </w:tcPr>
          <w:p>
            <w:pPr>
              <w:pStyle w:val="0"/>
              <w:ind w:firstLine="163"/>
              <w:jc w:val="both"/>
            </w:pPr>
            <w:r>
              <w:rPr>
                <w:sz w:val="20"/>
              </w:rPr>
              <w:t xml:space="preserve">Налог на имущество организаций</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7.3</w:t>
            </w:r>
          </w:p>
        </w:tc>
        <w:tc>
          <w:tcPr>
            <w:tcW w:w="3402" w:type="dxa"/>
          </w:tcPr>
          <w:p>
            <w:pPr>
              <w:pStyle w:val="0"/>
              <w:ind w:firstLine="163"/>
              <w:jc w:val="both"/>
            </w:pPr>
            <w:r>
              <w:rPr>
                <w:sz w:val="20"/>
              </w:rPr>
              <w:t xml:space="preserve">Плата за негативное воздействие на окружающую среду</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7.4</w:t>
            </w:r>
          </w:p>
        </w:tc>
        <w:tc>
          <w:tcPr>
            <w:tcW w:w="3402" w:type="dxa"/>
          </w:tcPr>
          <w:p>
            <w:pPr>
              <w:pStyle w:val="0"/>
              <w:ind w:firstLine="163"/>
              <w:jc w:val="both"/>
            </w:pPr>
            <w:r>
              <w:rPr>
                <w:sz w:val="20"/>
              </w:rPr>
              <w:t xml:space="preserve">Водный налог и плата за пользование водным объектом</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7.5</w:t>
            </w:r>
          </w:p>
        </w:tc>
        <w:tc>
          <w:tcPr>
            <w:tcW w:w="3402" w:type="dxa"/>
          </w:tcPr>
          <w:p>
            <w:pPr>
              <w:pStyle w:val="0"/>
              <w:ind w:firstLine="163"/>
              <w:jc w:val="both"/>
            </w:pPr>
            <w:r>
              <w:rPr>
                <w:sz w:val="20"/>
              </w:rPr>
              <w:t xml:space="preserve">Земельный налог</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7.6</w:t>
            </w:r>
          </w:p>
        </w:tc>
        <w:tc>
          <w:tcPr>
            <w:tcW w:w="3402" w:type="dxa"/>
          </w:tcPr>
          <w:p>
            <w:pPr>
              <w:pStyle w:val="0"/>
              <w:ind w:firstLine="163"/>
              <w:jc w:val="both"/>
            </w:pPr>
            <w:r>
              <w:rPr>
                <w:sz w:val="20"/>
              </w:rPr>
              <w:t xml:space="preserve">Транспортный налог</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7.7</w:t>
            </w:r>
          </w:p>
        </w:tc>
        <w:tc>
          <w:tcPr>
            <w:tcW w:w="3402" w:type="dxa"/>
          </w:tcPr>
          <w:p>
            <w:pPr>
              <w:pStyle w:val="0"/>
              <w:ind w:firstLine="163"/>
              <w:jc w:val="both"/>
            </w:pPr>
            <w:r>
              <w:rPr>
                <w:sz w:val="20"/>
              </w:rPr>
              <w:t xml:space="preserve">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8</w:t>
            </w:r>
          </w:p>
        </w:tc>
        <w:tc>
          <w:tcPr>
            <w:tcW w:w="3402" w:type="dxa"/>
          </w:tcPr>
          <w:p>
            <w:pPr>
              <w:pStyle w:val="0"/>
              <w:jc w:val="both"/>
            </w:pPr>
            <w:r>
              <w:rPr>
                <w:sz w:val="20"/>
              </w:rPr>
              <w:t xml:space="preserve">Нормативная прибыль</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8.1</w:t>
            </w:r>
          </w:p>
        </w:tc>
        <w:tc>
          <w:tcPr>
            <w:tcW w:w="3402" w:type="dxa"/>
          </w:tcPr>
          <w:p>
            <w:pPr>
              <w:pStyle w:val="0"/>
              <w:ind w:firstLine="163"/>
              <w:jc w:val="both"/>
            </w:pPr>
            <w:r>
              <w:rPr>
                <w:sz w:val="20"/>
              </w:rPr>
              <w:t xml:space="preserve">Средства на возврат займов и кредитов и процентов по ним</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8.2</w:t>
            </w:r>
          </w:p>
        </w:tc>
        <w:tc>
          <w:tcPr>
            <w:tcW w:w="3402" w:type="dxa"/>
          </w:tcPr>
          <w:p>
            <w:pPr>
              <w:pStyle w:val="0"/>
              <w:ind w:firstLine="163"/>
              <w:jc w:val="both"/>
            </w:pPr>
            <w:r>
              <w:rPr>
                <w:sz w:val="20"/>
              </w:rPr>
              <w:t xml:space="preserve">Расходы на капитальные вложения</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8.3</w:t>
            </w:r>
          </w:p>
        </w:tc>
        <w:tc>
          <w:tcPr>
            <w:tcW w:w="3402" w:type="dxa"/>
          </w:tcPr>
          <w:p>
            <w:pPr>
              <w:pStyle w:val="0"/>
              <w:ind w:firstLine="163"/>
              <w:jc w:val="both"/>
            </w:pPr>
            <w:r>
              <w:rPr>
                <w:sz w:val="20"/>
              </w:rPr>
              <w:t xml:space="preserve">Расходы на социальные нужды, предусмотренные коллективными договорами, в соответствии с </w:t>
            </w:r>
            <w:hyperlink w:history="0" w:anchor="P233" w:tooltip="3) расходы на социальные нужды, предусмотренные коллективными договорами;">
              <w:r>
                <w:rPr>
                  <w:sz w:val="20"/>
                  <w:color w:val="0000ff"/>
                </w:rPr>
                <w:t xml:space="preserve">подпунктом 3 пункта 31</w:t>
              </w:r>
            </w:hyperlink>
            <w:r>
              <w:rPr>
                <w:sz w:val="20"/>
              </w:rPr>
              <w:t xml:space="preserve"> Методических указаний</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9</w:t>
            </w:r>
          </w:p>
        </w:tc>
        <w:tc>
          <w:tcPr>
            <w:tcW w:w="3402" w:type="dxa"/>
          </w:tcPr>
          <w:p>
            <w:pPr>
              <w:pStyle w:val="0"/>
              <w:ind w:firstLine="163"/>
              <w:jc w:val="both"/>
            </w:pPr>
            <w:r>
              <w:rPr>
                <w:sz w:val="20"/>
              </w:rPr>
              <w:t xml:space="preserve">Расчетная предпринимательская прибыль гарантирующей организации</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r>
        <w:tc>
          <w:tcPr>
            <w:tcW w:w="680" w:type="dxa"/>
            <w:vAlign w:val="center"/>
          </w:tcPr>
          <w:p>
            <w:pPr>
              <w:pStyle w:val="0"/>
            </w:pPr>
            <w:r>
              <w:rPr>
                <w:sz w:val="20"/>
              </w:rPr>
              <w:t xml:space="preserve">10</w:t>
            </w:r>
          </w:p>
        </w:tc>
        <w:tc>
          <w:tcPr>
            <w:tcW w:w="3402" w:type="dxa"/>
          </w:tcPr>
          <w:p>
            <w:pPr>
              <w:pStyle w:val="0"/>
              <w:jc w:val="both"/>
            </w:pPr>
            <w:r>
              <w:rPr>
                <w:sz w:val="20"/>
              </w:rPr>
              <w:t xml:space="preserve">Итого НВВ</w:t>
            </w:r>
          </w:p>
        </w:tc>
        <w:tc>
          <w:tcPr>
            <w:tcW w:w="1048" w:type="dxa"/>
            <w:vAlign w:val="center"/>
          </w:tcPr>
          <w:p>
            <w:pPr>
              <w:pStyle w:val="0"/>
              <w:jc w:val="center"/>
            </w:pPr>
            <w:r>
              <w:rPr>
                <w:sz w:val="20"/>
              </w:rPr>
              <w:t xml:space="preserve">тыс. руб.</w:t>
            </w:r>
          </w:p>
        </w:tc>
        <w:tc>
          <w:tcPr>
            <w:tcW w:w="755" w:type="dxa"/>
            <w:vAlign w:val="center"/>
          </w:tcPr>
          <w:p>
            <w:pPr>
              <w:pStyle w:val="0"/>
            </w:pPr>
            <w:r>
              <w:rPr>
                <w:sz w:val="20"/>
              </w:rPr>
            </w:r>
          </w:p>
        </w:tc>
        <w:tc>
          <w:tcPr>
            <w:tcW w:w="737" w:type="dxa"/>
            <w:vAlign w:val="center"/>
          </w:tcPr>
          <w:p>
            <w:pPr>
              <w:pStyle w:val="0"/>
            </w:pPr>
            <w:r>
              <w:rPr>
                <w:sz w:val="20"/>
              </w:rPr>
            </w:r>
          </w:p>
        </w:tc>
        <w:tc>
          <w:tcPr>
            <w:tcW w:w="854" w:type="dxa"/>
            <w:vAlign w:val="center"/>
          </w:tcPr>
          <w:p>
            <w:pPr>
              <w:pStyle w:val="0"/>
            </w:pPr>
            <w:r>
              <w:rPr>
                <w:sz w:val="20"/>
              </w:rPr>
            </w:r>
          </w:p>
        </w:tc>
        <w:tc>
          <w:tcPr>
            <w:tcW w:w="737" w:type="dxa"/>
            <w:vAlign w:val="center"/>
          </w:tcPr>
          <w:p>
            <w:pPr>
              <w:pStyle w:val="0"/>
            </w:pPr>
            <w:r>
              <w:rPr>
                <w:sz w:val="20"/>
              </w:rPr>
            </w:r>
          </w:p>
        </w:tc>
        <w:tc>
          <w:tcPr>
            <w:tcW w:w="850" w:type="dxa"/>
            <w:vAlign w:val="center"/>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bookmarkStart w:id="3105" w:name="P3105"/>
    <w:bookmarkEnd w:id="3105"/>
    <w:p>
      <w:pPr>
        <w:pStyle w:val="0"/>
        <w:jc w:val="center"/>
      </w:pPr>
      <w:r>
        <w:rPr>
          <w:sz w:val="20"/>
        </w:rPr>
        <w:t xml:space="preserve">Расходы на сырье и материалы</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1984"/>
        <w:gridCol w:w="1484"/>
        <w:gridCol w:w="724"/>
        <w:gridCol w:w="724"/>
        <w:gridCol w:w="724"/>
        <w:gridCol w:w="794"/>
        <w:gridCol w:w="1374"/>
        <w:gridCol w:w="1524"/>
        <w:gridCol w:w="1454"/>
      </w:tblGrid>
      <w:tr>
        <w:tc>
          <w:tcPr>
            <w:tcW w:w="524" w:type="dxa"/>
            <w:vMerge w:val="restart"/>
          </w:tcPr>
          <w:p>
            <w:pPr>
              <w:pStyle w:val="0"/>
              <w:jc w:val="center"/>
            </w:pPr>
            <w:r>
              <w:rPr>
                <w:sz w:val="20"/>
              </w:rPr>
              <w:t xml:space="preserve">N п/п</w:t>
            </w:r>
          </w:p>
        </w:tc>
        <w:tc>
          <w:tcPr>
            <w:tcW w:w="1984" w:type="dxa"/>
            <w:vMerge w:val="restart"/>
          </w:tcPr>
          <w:p>
            <w:pPr>
              <w:pStyle w:val="0"/>
              <w:jc w:val="center"/>
            </w:pPr>
            <w:r>
              <w:rPr>
                <w:sz w:val="20"/>
              </w:rPr>
              <w:t xml:space="preserve">Наименование</w:t>
            </w:r>
          </w:p>
        </w:tc>
        <w:tc>
          <w:tcPr>
            <w:tcW w:w="1484" w:type="dxa"/>
            <w:vMerge w:val="restart"/>
          </w:tcPr>
          <w:p>
            <w:pPr>
              <w:pStyle w:val="0"/>
              <w:jc w:val="center"/>
            </w:pPr>
            <w:r>
              <w:rPr>
                <w:sz w:val="20"/>
              </w:rPr>
              <w:t xml:space="preserve">Единица измерений</w:t>
            </w:r>
          </w:p>
        </w:tc>
        <w:tc>
          <w:tcPr>
            <w:gridSpan w:val="2"/>
            <w:tcW w:w="1448" w:type="dxa"/>
          </w:tcPr>
          <w:p>
            <w:pPr>
              <w:pStyle w:val="0"/>
              <w:jc w:val="center"/>
            </w:pPr>
            <w:r>
              <w:rPr>
                <w:sz w:val="20"/>
              </w:rPr>
              <w:t xml:space="preserve">Истекший год (i-2)</w:t>
            </w:r>
          </w:p>
        </w:tc>
        <w:tc>
          <w:tcPr>
            <w:gridSpan w:val="2"/>
            <w:tcW w:w="1518" w:type="dxa"/>
          </w:tcPr>
          <w:p>
            <w:pPr>
              <w:pStyle w:val="0"/>
              <w:jc w:val="center"/>
            </w:pPr>
            <w:r>
              <w:rPr>
                <w:sz w:val="20"/>
              </w:rPr>
              <w:t xml:space="preserve">Текущий год (i-1)</w:t>
            </w:r>
          </w:p>
        </w:tc>
        <w:tc>
          <w:tcPr>
            <w:tcW w:w="1374" w:type="dxa"/>
            <w:vMerge w:val="restart"/>
          </w:tcPr>
          <w:p>
            <w:pPr>
              <w:pStyle w:val="0"/>
              <w:jc w:val="center"/>
            </w:pPr>
            <w:r>
              <w:rPr>
                <w:sz w:val="20"/>
              </w:rPr>
              <w:t xml:space="preserve">Темп роста, текущий (7) / истекший (5), % </w:t>
            </w:r>
            <w:hyperlink w:history="0" w:anchor="P3161" w:tooltip="1. Расходы на реагенты, а также другие расходы на сырье и материалы, которые составляют более 5 процентов общей величины расходов на сырье и материалы, указываются в приложении 2.1.1.">
              <w:r>
                <w:rPr>
                  <w:sz w:val="20"/>
                  <w:color w:val="0000ff"/>
                </w:rPr>
                <w:t xml:space="preserve">&lt;*&gt;</w:t>
              </w:r>
            </w:hyperlink>
          </w:p>
        </w:tc>
        <w:tc>
          <w:tcPr>
            <w:tcW w:w="1524" w:type="dxa"/>
            <w:vMerge w:val="restart"/>
          </w:tcPr>
          <w:p>
            <w:pPr>
              <w:pStyle w:val="0"/>
              <w:jc w:val="center"/>
            </w:pPr>
            <w:r>
              <w:rPr>
                <w:sz w:val="20"/>
              </w:rPr>
              <w:t xml:space="preserve">Очередной год (i)</w:t>
            </w:r>
          </w:p>
        </w:tc>
        <w:tc>
          <w:tcPr>
            <w:tcW w:w="1454" w:type="dxa"/>
            <w:vMerge w:val="restart"/>
          </w:tcPr>
          <w:p>
            <w:pPr>
              <w:pStyle w:val="0"/>
              <w:jc w:val="center"/>
            </w:pPr>
            <w:r>
              <w:rPr>
                <w:sz w:val="20"/>
              </w:rPr>
              <w:t xml:space="preserve">Темп роста, очередной (9) / текущий (7), % </w:t>
            </w:r>
            <w:hyperlink w:history="0" w:anchor="P3161" w:tooltip="1. Расходы на реагенты, а также другие расходы на сырье и материалы, которые составляют более 5 процентов общей величины расходов на сырье и материалы, указываются в приложении 2.1.1.">
              <w:r>
                <w:rPr>
                  <w:sz w:val="20"/>
                  <w:color w:val="0000ff"/>
                </w:rPr>
                <w:t xml:space="preserve">&lt;*&gt;</w:t>
              </w:r>
            </w:hyperlink>
          </w:p>
        </w:tc>
      </w:tr>
      <w:tr>
        <w:tc>
          <w:tcPr>
            <w:vMerge w:val="continue"/>
          </w:tcPr>
          <w:p/>
        </w:tc>
        <w:tc>
          <w:tcPr>
            <w:vMerge w:val="continue"/>
          </w:tcPr>
          <w:p/>
        </w:tc>
        <w:tc>
          <w:tcPr>
            <w:vMerge w:val="continue"/>
          </w:tcPr>
          <w:p/>
        </w:tc>
        <w:tc>
          <w:tcPr>
            <w:tcW w:w="724" w:type="dxa"/>
          </w:tcPr>
          <w:p>
            <w:pPr>
              <w:pStyle w:val="0"/>
              <w:jc w:val="center"/>
            </w:pPr>
            <w:r>
              <w:rPr>
                <w:sz w:val="20"/>
              </w:rPr>
              <w:t xml:space="preserve">план</w:t>
            </w:r>
          </w:p>
        </w:tc>
        <w:tc>
          <w:tcPr>
            <w:tcW w:w="724" w:type="dxa"/>
          </w:tcPr>
          <w:p>
            <w:pPr>
              <w:pStyle w:val="0"/>
              <w:jc w:val="center"/>
            </w:pPr>
            <w:r>
              <w:rPr>
                <w:sz w:val="20"/>
              </w:rPr>
              <w:t xml:space="preserve">факт</w:t>
            </w:r>
          </w:p>
        </w:tc>
        <w:tc>
          <w:tcPr>
            <w:tcW w:w="724" w:type="dxa"/>
          </w:tcPr>
          <w:p>
            <w:pPr>
              <w:pStyle w:val="0"/>
              <w:jc w:val="center"/>
            </w:pPr>
            <w:r>
              <w:rPr>
                <w:sz w:val="20"/>
              </w:rPr>
              <w:t xml:space="preserve">план</w:t>
            </w:r>
          </w:p>
        </w:tc>
        <w:tc>
          <w:tcPr>
            <w:tcW w:w="794" w:type="dxa"/>
          </w:tcPr>
          <w:p>
            <w:pPr>
              <w:pStyle w:val="0"/>
              <w:jc w:val="center"/>
            </w:pPr>
            <w:r>
              <w:rPr>
                <w:sz w:val="20"/>
              </w:rPr>
              <w:t xml:space="preserve">ожид</w:t>
            </w:r>
          </w:p>
        </w:tc>
        <w:tc>
          <w:tcPr>
            <w:vMerge w:val="continue"/>
          </w:tcPr>
          <w:p/>
        </w:tc>
        <w:tc>
          <w:tcPr>
            <w:vMerge w:val="continue"/>
          </w:tcPr>
          <w:p/>
        </w:tc>
        <w:tc>
          <w:tcPr>
            <w:vMerge w:val="continue"/>
          </w:tcPr>
          <w:p/>
        </w:tc>
      </w:tr>
      <w:tr>
        <w:tc>
          <w:tcPr>
            <w:tcW w:w="524" w:type="dxa"/>
          </w:tcPr>
          <w:p>
            <w:pPr>
              <w:pStyle w:val="0"/>
              <w:jc w:val="center"/>
            </w:pPr>
            <w:r>
              <w:rPr>
                <w:sz w:val="20"/>
              </w:rPr>
              <w:t xml:space="preserve">1</w:t>
            </w:r>
          </w:p>
        </w:tc>
        <w:tc>
          <w:tcPr>
            <w:tcW w:w="1984" w:type="dxa"/>
          </w:tcPr>
          <w:p>
            <w:pPr>
              <w:pStyle w:val="0"/>
              <w:jc w:val="center"/>
            </w:pPr>
            <w:r>
              <w:rPr>
                <w:sz w:val="20"/>
              </w:rPr>
              <w:t xml:space="preserve">2</w:t>
            </w:r>
          </w:p>
        </w:tc>
        <w:tc>
          <w:tcPr>
            <w:tcW w:w="1484" w:type="dxa"/>
          </w:tcPr>
          <w:p>
            <w:pPr>
              <w:pStyle w:val="0"/>
              <w:jc w:val="center"/>
            </w:pPr>
            <w:r>
              <w:rPr>
                <w:sz w:val="20"/>
              </w:rPr>
              <w:t xml:space="preserve">3</w:t>
            </w:r>
          </w:p>
        </w:tc>
        <w:tc>
          <w:tcPr>
            <w:tcW w:w="724" w:type="dxa"/>
          </w:tcPr>
          <w:p>
            <w:pPr>
              <w:pStyle w:val="0"/>
              <w:jc w:val="center"/>
            </w:pPr>
            <w:r>
              <w:rPr>
                <w:sz w:val="20"/>
              </w:rPr>
              <w:t xml:space="preserve">4</w:t>
            </w:r>
          </w:p>
        </w:tc>
        <w:tc>
          <w:tcPr>
            <w:tcW w:w="724" w:type="dxa"/>
          </w:tcPr>
          <w:p>
            <w:pPr>
              <w:pStyle w:val="0"/>
              <w:jc w:val="center"/>
            </w:pPr>
            <w:r>
              <w:rPr>
                <w:sz w:val="20"/>
              </w:rPr>
              <w:t xml:space="preserve">5</w:t>
            </w:r>
          </w:p>
        </w:tc>
        <w:tc>
          <w:tcPr>
            <w:tcW w:w="724" w:type="dxa"/>
          </w:tcPr>
          <w:p>
            <w:pPr>
              <w:pStyle w:val="0"/>
              <w:jc w:val="center"/>
            </w:pPr>
            <w:r>
              <w:rPr>
                <w:sz w:val="20"/>
              </w:rPr>
              <w:t xml:space="preserve">6</w:t>
            </w:r>
          </w:p>
        </w:tc>
        <w:tc>
          <w:tcPr>
            <w:tcW w:w="794" w:type="dxa"/>
          </w:tcPr>
          <w:p>
            <w:pPr>
              <w:pStyle w:val="0"/>
              <w:jc w:val="center"/>
            </w:pPr>
            <w:r>
              <w:rPr>
                <w:sz w:val="20"/>
              </w:rPr>
              <w:t xml:space="preserve">7</w:t>
            </w:r>
          </w:p>
        </w:tc>
        <w:tc>
          <w:tcPr>
            <w:tcW w:w="1374" w:type="dxa"/>
          </w:tcPr>
          <w:p>
            <w:pPr>
              <w:pStyle w:val="0"/>
              <w:jc w:val="center"/>
            </w:pPr>
            <w:r>
              <w:rPr>
                <w:sz w:val="20"/>
              </w:rPr>
              <w:t xml:space="preserve">8</w:t>
            </w:r>
          </w:p>
        </w:tc>
        <w:tc>
          <w:tcPr>
            <w:tcW w:w="1524" w:type="dxa"/>
          </w:tcPr>
          <w:p>
            <w:pPr>
              <w:pStyle w:val="0"/>
              <w:jc w:val="center"/>
            </w:pPr>
            <w:r>
              <w:rPr>
                <w:sz w:val="20"/>
              </w:rPr>
              <w:t xml:space="preserve">9</w:t>
            </w:r>
          </w:p>
        </w:tc>
        <w:tc>
          <w:tcPr>
            <w:tcW w:w="1454" w:type="dxa"/>
          </w:tcPr>
          <w:p>
            <w:pPr>
              <w:pStyle w:val="0"/>
              <w:jc w:val="center"/>
            </w:pPr>
            <w:r>
              <w:rPr>
                <w:sz w:val="20"/>
              </w:rPr>
              <w:t xml:space="preserve">10</w:t>
            </w:r>
          </w:p>
        </w:tc>
      </w:tr>
      <w:tr>
        <w:tc>
          <w:tcPr>
            <w:tcW w:w="524" w:type="dxa"/>
          </w:tcPr>
          <w:p>
            <w:pPr>
              <w:pStyle w:val="0"/>
              <w:jc w:val="center"/>
            </w:pPr>
            <w:r>
              <w:rPr>
                <w:sz w:val="20"/>
              </w:rPr>
              <w:t xml:space="preserve">1</w:t>
            </w:r>
          </w:p>
        </w:tc>
        <w:tc>
          <w:tcPr>
            <w:tcW w:w="1984" w:type="dxa"/>
          </w:tcPr>
          <w:p>
            <w:pPr>
              <w:pStyle w:val="0"/>
            </w:pPr>
            <w:r>
              <w:rPr>
                <w:sz w:val="20"/>
              </w:rPr>
              <w:t xml:space="preserve">Реагенты</w:t>
            </w:r>
          </w:p>
        </w:tc>
        <w:tc>
          <w:tcPr>
            <w:tcW w:w="1484" w:type="dxa"/>
          </w:tcPr>
          <w:p>
            <w:pPr>
              <w:pStyle w:val="0"/>
              <w:jc w:val="center"/>
            </w:pPr>
            <w:r>
              <w:rPr>
                <w:sz w:val="20"/>
              </w:rPr>
              <w:t xml:space="preserve">тыс. руб.</w:t>
            </w:r>
          </w:p>
        </w:tc>
        <w:tc>
          <w:tcPr>
            <w:tcW w:w="724" w:type="dxa"/>
          </w:tcPr>
          <w:p>
            <w:pPr>
              <w:pStyle w:val="0"/>
            </w:pPr>
            <w:r>
              <w:rPr>
                <w:sz w:val="20"/>
              </w:rPr>
            </w:r>
          </w:p>
        </w:tc>
        <w:tc>
          <w:tcPr>
            <w:tcW w:w="724" w:type="dxa"/>
          </w:tcPr>
          <w:p>
            <w:pPr>
              <w:pStyle w:val="0"/>
            </w:pPr>
            <w:r>
              <w:rPr>
                <w:sz w:val="20"/>
              </w:rPr>
            </w:r>
          </w:p>
        </w:tc>
        <w:tc>
          <w:tcPr>
            <w:tcW w:w="724" w:type="dxa"/>
          </w:tcPr>
          <w:p>
            <w:pPr>
              <w:pStyle w:val="0"/>
            </w:pPr>
            <w:r>
              <w:rPr>
                <w:sz w:val="20"/>
              </w:rPr>
            </w:r>
          </w:p>
        </w:tc>
        <w:tc>
          <w:tcPr>
            <w:tcW w:w="794" w:type="dxa"/>
          </w:tcPr>
          <w:p>
            <w:pPr>
              <w:pStyle w:val="0"/>
            </w:pPr>
            <w:r>
              <w:rPr>
                <w:sz w:val="20"/>
              </w:rPr>
            </w:r>
          </w:p>
        </w:tc>
        <w:tc>
          <w:tcPr>
            <w:tcW w:w="1374" w:type="dxa"/>
          </w:tcPr>
          <w:p>
            <w:pPr>
              <w:pStyle w:val="0"/>
            </w:pPr>
            <w:r>
              <w:rPr>
                <w:sz w:val="20"/>
              </w:rPr>
            </w:r>
          </w:p>
        </w:tc>
        <w:tc>
          <w:tcPr>
            <w:tcW w:w="1524" w:type="dxa"/>
          </w:tcPr>
          <w:p>
            <w:pPr>
              <w:pStyle w:val="0"/>
            </w:pPr>
            <w:r>
              <w:rPr>
                <w:sz w:val="20"/>
              </w:rPr>
            </w:r>
          </w:p>
        </w:tc>
        <w:tc>
          <w:tcPr>
            <w:tcW w:w="1454" w:type="dxa"/>
          </w:tcPr>
          <w:p>
            <w:pPr>
              <w:pStyle w:val="0"/>
            </w:pPr>
            <w:r>
              <w:rPr>
                <w:sz w:val="20"/>
              </w:rPr>
            </w:r>
          </w:p>
        </w:tc>
      </w:tr>
      <w:tr>
        <w:tc>
          <w:tcPr>
            <w:tcW w:w="524" w:type="dxa"/>
          </w:tcPr>
          <w:p>
            <w:pPr>
              <w:pStyle w:val="0"/>
              <w:jc w:val="center"/>
            </w:pPr>
            <w:r>
              <w:rPr>
                <w:sz w:val="20"/>
              </w:rPr>
              <w:t xml:space="preserve">2</w:t>
            </w:r>
          </w:p>
        </w:tc>
        <w:tc>
          <w:tcPr>
            <w:tcW w:w="1984" w:type="dxa"/>
          </w:tcPr>
          <w:p>
            <w:pPr>
              <w:pStyle w:val="0"/>
            </w:pPr>
            <w:r>
              <w:rPr>
                <w:sz w:val="20"/>
              </w:rPr>
              <w:t xml:space="preserve">Горюче-смазочные материалы</w:t>
            </w:r>
          </w:p>
        </w:tc>
        <w:tc>
          <w:tcPr>
            <w:tcW w:w="1484" w:type="dxa"/>
          </w:tcPr>
          <w:p>
            <w:pPr>
              <w:pStyle w:val="0"/>
              <w:jc w:val="center"/>
            </w:pPr>
            <w:r>
              <w:rPr>
                <w:sz w:val="20"/>
              </w:rPr>
              <w:t xml:space="preserve">тыс. руб.</w:t>
            </w:r>
          </w:p>
        </w:tc>
        <w:tc>
          <w:tcPr>
            <w:tcW w:w="724" w:type="dxa"/>
          </w:tcPr>
          <w:p>
            <w:pPr>
              <w:pStyle w:val="0"/>
            </w:pPr>
            <w:r>
              <w:rPr>
                <w:sz w:val="20"/>
              </w:rPr>
            </w:r>
          </w:p>
        </w:tc>
        <w:tc>
          <w:tcPr>
            <w:tcW w:w="724" w:type="dxa"/>
          </w:tcPr>
          <w:p>
            <w:pPr>
              <w:pStyle w:val="0"/>
            </w:pPr>
            <w:r>
              <w:rPr>
                <w:sz w:val="20"/>
              </w:rPr>
            </w:r>
          </w:p>
        </w:tc>
        <w:tc>
          <w:tcPr>
            <w:tcW w:w="724" w:type="dxa"/>
          </w:tcPr>
          <w:p>
            <w:pPr>
              <w:pStyle w:val="0"/>
            </w:pPr>
            <w:r>
              <w:rPr>
                <w:sz w:val="20"/>
              </w:rPr>
            </w:r>
          </w:p>
        </w:tc>
        <w:tc>
          <w:tcPr>
            <w:tcW w:w="794" w:type="dxa"/>
          </w:tcPr>
          <w:p>
            <w:pPr>
              <w:pStyle w:val="0"/>
            </w:pPr>
            <w:r>
              <w:rPr>
                <w:sz w:val="20"/>
              </w:rPr>
            </w:r>
          </w:p>
        </w:tc>
        <w:tc>
          <w:tcPr>
            <w:tcW w:w="1374" w:type="dxa"/>
          </w:tcPr>
          <w:p>
            <w:pPr>
              <w:pStyle w:val="0"/>
            </w:pPr>
            <w:r>
              <w:rPr>
                <w:sz w:val="20"/>
              </w:rPr>
            </w:r>
          </w:p>
        </w:tc>
        <w:tc>
          <w:tcPr>
            <w:tcW w:w="1524" w:type="dxa"/>
          </w:tcPr>
          <w:p>
            <w:pPr>
              <w:pStyle w:val="0"/>
            </w:pPr>
            <w:r>
              <w:rPr>
                <w:sz w:val="20"/>
              </w:rPr>
            </w:r>
          </w:p>
        </w:tc>
        <w:tc>
          <w:tcPr>
            <w:tcW w:w="1454" w:type="dxa"/>
          </w:tcPr>
          <w:p>
            <w:pPr>
              <w:pStyle w:val="0"/>
            </w:pPr>
            <w:r>
              <w:rPr>
                <w:sz w:val="20"/>
              </w:rPr>
            </w:r>
          </w:p>
        </w:tc>
      </w:tr>
      <w:tr>
        <w:tc>
          <w:tcPr>
            <w:tcW w:w="524" w:type="dxa"/>
          </w:tcPr>
          <w:p>
            <w:pPr>
              <w:pStyle w:val="0"/>
              <w:jc w:val="center"/>
            </w:pPr>
            <w:r>
              <w:rPr>
                <w:sz w:val="20"/>
              </w:rPr>
              <w:t xml:space="preserve">3</w:t>
            </w:r>
          </w:p>
        </w:tc>
        <w:tc>
          <w:tcPr>
            <w:tcW w:w="1984" w:type="dxa"/>
          </w:tcPr>
          <w:p>
            <w:pPr>
              <w:pStyle w:val="0"/>
            </w:pPr>
            <w:r>
              <w:rPr>
                <w:sz w:val="20"/>
              </w:rPr>
              <w:t xml:space="preserve">Материалы и малоценные основные средства</w:t>
            </w:r>
          </w:p>
        </w:tc>
        <w:tc>
          <w:tcPr>
            <w:tcW w:w="1484" w:type="dxa"/>
          </w:tcPr>
          <w:p>
            <w:pPr>
              <w:pStyle w:val="0"/>
              <w:jc w:val="center"/>
            </w:pPr>
            <w:r>
              <w:rPr>
                <w:sz w:val="20"/>
              </w:rPr>
              <w:t xml:space="preserve">тыс. руб.</w:t>
            </w:r>
          </w:p>
        </w:tc>
        <w:tc>
          <w:tcPr>
            <w:tcW w:w="724" w:type="dxa"/>
          </w:tcPr>
          <w:p>
            <w:pPr>
              <w:pStyle w:val="0"/>
            </w:pPr>
            <w:r>
              <w:rPr>
                <w:sz w:val="20"/>
              </w:rPr>
            </w:r>
          </w:p>
        </w:tc>
        <w:tc>
          <w:tcPr>
            <w:tcW w:w="724" w:type="dxa"/>
          </w:tcPr>
          <w:p>
            <w:pPr>
              <w:pStyle w:val="0"/>
            </w:pPr>
            <w:r>
              <w:rPr>
                <w:sz w:val="20"/>
              </w:rPr>
            </w:r>
          </w:p>
        </w:tc>
        <w:tc>
          <w:tcPr>
            <w:tcW w:w="724" w:type="dxa"/>
          </w:tcPr>
          <w:p>
            <w:pPr>
              <w:pStyle w:val="0"/>
            </w:pPr>
            <w:r>
              <w:rPr>
                <w:sz w:val="20"/>
              </w:rPr>
            </w:r>
          </w:p>
        </w:tc>
        <w:tc>
          <w:tcPr>
            <w:tcW w:w="794" w:type="dxa"/>
          </w:tcPr>
          <w:p>
            <w:pPr>
              <w:pStyle w:val="0"/>
            </w:pPr>
            <w:r>
              <w:rPr>
                <w:sz w:val="20"/>
              </w:rPr>
            </w:r>
          </w:p>
        </w:tc>
        <w:tc>
          <w:tcPr>
            <w:tcW w:w="1374" w:type="dxa"/>
          </w:tcPr>
          <w:p>
            <w:pPr>
              <w:pStyle w:val="0"/>
            </w:pPr>
            <w:r>
              <w:rPr>
                <w:sz w:val="20"/>
              </w:rPr>
            </w:r>
          </w:p>
        </w:tc>
        <w:tc>
          <w:tcPr>
            <w:tcW w:w="1524" w:type="dxa"/>
          </w:tcPr>
          <w:p>
            <w:pPr>
              <w:pStyle w:val="0"/>
            </w:pPr>
            <w:r>
              <w:rPr>
                <w:sz w:val="20"/>
              </w:rPr>
            </w:r>
          </w:p>
        </w:tc>
        <w:tc>
          <w:tcPr>
            <w:tcW w:w="1454" w:type="dxa"/>
          </w:tcPr>
          <w:p>
            <w:pPr>
              <w:pStyle w:val="0"/>
            </w:pPr>
            <w:r>
              <w:rPr>
                <w:sz w:val="20"/>
              </w:rPr>
            </w:r>
          </w:p>
        </w:tc>
      </w:tr>
    </w:tbl>
    <w:p>
      <w:pPr>
        <w:pStyle w:val="0"/>
        <w:jc w:val="both"/>
      </w:pPr>
      <w:r>
        <w:rPr>
          <w:sz w:val="20"/>
        </w:rPr>
      </w:r>
    </w:p>
    <w:p>
      <w:pPr>
        <w:pStyle w:val="0"/>
        <w:ind w:firstLine="540"/>
        <w:jc w:val="both"/>
      </w:pPr>
      <w:r>
        <w:rPr>
          <w:sz w:val="20"/>
        </w:rPr>
        <w:t xml:space="preserve">Примечания:</w:t>
      </w:r>
    </w:p>
    <w:bookmarkStart w:id="3161" w:name="P3161"/>
    <w:bookmarkEnd w:id="3161"/>
    <w:p>
      <w:pPr>
        <w:pStyle w:val="0"/>
        <w:spacing w:before="200" w:lineRule="auto"/>
        <w:ind w:firstLine="540"/>
        <w:jc w:val="both"/>
      </w:pPr>
      <w:r>
        <w:rPr>
          <w:sz w:val="20"/>
        </w:rPr>
        <w:t xml:space="preserve">1. Расходы на реагенты, а также другие расходы на сырье и материалы, которые составляют более 5 процентов общей величины расходов на сырье и материалы, указываются в </w:t>
      </w:r>
      <w:hyperlink w:history="0" w:anchor="P3172" w:tooltip="Расходы на сырье и материалы">
        <w:r>
          <w:rPr>
            <w:sz w:val="20"/>
            <w:color w:val="0000ff"/>
          </w:rPr>
          <w:t xml:space="preserve">приложении 2.1.1</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2.1.1</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bookmarkStart w:id="3172" w:name="P3172"/>
    <w:bookmarkEnd w:id="3172"/>
    <w:p>
      <w:pPr>
        <w:pStyle w:val="0"/>
        <w:jc w:val="center"/>
      </w:pPr>
      <w:r>
        <w:rPr>
          <w:sz w:val="20"/>
        </w:rPr>
        <w:t xml:space="preserve">Расходы на сырье и материалы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4290"/>
        <w:gridCol w:w="1650"/>
        <w:gridCol w:w="825"/>
        <w:gridCol w:w="990"/>
        <w:gridCol w:w="825"/>
        <w:gridCol w:w="825"/>
        <w:gridCol w:w="1650"/>
      </w:tblGrid>
      <w:tr>
        <w:tc>
          <w:tcPr>
            <w:tcW w:w="1155" w:type="dxa"/>
            <w:vMerge w:val="restart"/>
          </w:tcPr>
          <w:p>
            <w:pPr>
              <w:pStyle w:val="0"/>
              <w:jc w:val="center"/>
            </w:pPr>
            <w:r>
              <w:rPr>
                <w:sz w:val="20"/>
              </w:rPr>
              <w:t xml:space="preserve">N п/п</w:t>
            </w:r>
          </w:p>
        </w:tc>
        <w:tc>
          <w:tcPr>
            <w:tcW w:w="4290" w:type="dxa"/>
            <w:vMerge w:val="restart"/>
          </w:tcPr>
          <w:p>
            <w:pPr>
              <w:pStyle w:val="0"/>
              <w:jc w:val="center"/>
            </w:pPr>
            <w:r>
              <w:rPr>
                <w:sz w:val="20"/>
              </w:rPr>
              <w:t xml:space="preserve">Наименование</w:t>
            </w:r>
          </w:p>
        </w:tc>
        <w:tc>
          <w:tcPr>
            <w:tcW w:w="1650" w:type="dxa"/>
            <w:vMerge w:val="restart"/>
          </w:tcPr>
          <w:p>
            <w:pPr>
              <w:pStyle w:val="0"/>
              <w:jc w:val="center"/>
            </w:pPr>
            <w:r>
              <w:rPr>
                <w:sz w:val="20"/>
              </w:rPr>
              <w:t xml:space="preserve">Единица измерений</w:t>
            </w:r>
          </w:p>
        </w:tc>
        <w:tc>
          <w:tcPr>
            <w:gridSpan w:val="2"/>
            <w:tcW w:w="1815" w:type="dxa"/>
          </w:tcPr>
          <w:p>
            <w:pPr>
              <w:pStyle w:val="0"/>
              <w:jc w:val="center"/>
            </w:pPr>
            <w:r>
              <w:rPr>
                <w:sz w:val="20"/>
              </w:rPr>
              <w:t xml:space="preserve">Истекший год (i-2)</w:t>
            </w:r>
          </w:p>
        </w:tc>
        <w:tc>
          <w:tcPr>
            <w:gridSpan w:val="2"/>
            <w:tcW w:w="1650" w:type="dxa"/>
          </w:tcPr>
          <w:p>
            <w:pPr>
              <w:pStyle w:val="0"/>
              <w:jc w:val="center"/>
            </w:pPr>
            <w:r>
              <w:rPr>
                <w:sz w:val="20"/>
              </w:rPr>
              <w:t xml:space="preserve">Текущий год (i-1)</w:t>
            </w:r>
          </w:p>
        </w:tc>
        <w:tc>
          <w:tcPr>
            <w:tcW w:w="1650"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825" w:type="dxa"/>
          </w:tcPr>
          <w:p>
            <w:pPr>
              <w:pStyle w:val="0"/>
              <w:jc w:val="center"/>
            </w:pPr>
            <w:r>
              <w:rPr>
                <w:sz w:val="20"/>
              </w:rPr>
              <w:t xml:space="preserve">план</w:t>
            </w:r>
          </w:p>
        </w:tc>
        <w:tc>
          <w:tcPr>
            <w:tcW w:w="990" w:type="dxa"/>
          </w:tcPr>
          <w:p>
            <w:pPr>
              <w:pStyle w:val="0"/>
              <w:jc w:val="center"/>
            </w:pPr>
            <w:r>
              <w:rPr>
                <w:sz w:val="20"/>
              </w:rPr>
              <w:t xml:space="preserve">факт</w:t>
            </w:r>
          </w:p>
        </w:tc>
        <w:tc>
          <w:tcPr>
            <w:tcW w:w="825" w:type="dxa"/>
          </w:tcPr>
          <w:p>
            <w:pPr>
              <w:pStyle w:val="0"/>
              <w:jc w:val="center"/>
            </w:pPr>
            <w:r>
              <w:rPr>
                <w:sz w:val="20"/>
              </w:rPr>
              <w:t xml:space="preserve">план</w:t>
            </w:r>
          </w:p>
        </w:tc>
        <w:tc>
          <w:tcPr>
            <w:tcW w:w="825" w:type="dxa"/>
          </w:tcPr>
          <w:p>
            <w:pPr>
              <w:pStyle w:val="0"/>
              <w:jc w:val="center"/>
            </w:pPr>
            <w:r>
              <w:rPr>
                <w:sz w:val="20"/>
              </w:rPr>
              <w:t xml:space="preserve">ожид</w:t>
            </w:r>
          </w:p>
        </w:tc>
        <w:tc>
          <w:tcPr>
            <w:vMerge w:val="continue"/>
          </w:tcPr>
          <w:p/>
        </w:tc>
      </w:tr>
      <w:tr>
        <w:tc>
          <w:tcPr>
            <w:tcW w:w="1155" w:type="dxa"/>
          </w:tcPr>
          <w:p>
            <w:pPr>
              <w:pStyle w:val="0"/>
              <w:jc w:val="center"/>
            </w:pPr>
            <w:r>
              <w:rPr>
                <w:sz w:val="20"/>
              </w:rPr>
              <w:t xml:space="preserve">1</w:t>
            </w:r>
          </w:p>
        </w:tc>
        <w:tc>
          <w:tcPr>
            <w:tcW w:w="4290" w:type="dxa"/>
          </w:tcPr>
          <w:p>
            <w:pPr>
              <w:pStyle w:val="0"/>
              <w:jc w:val="center"/>
            </w:pPr>
            <w:r>
              <w:rPr>
                <w:sz w:val="20"/>
              </w:rPr>
              <w:t xml:space="preserve">2</w:t>
            </w:r>
          </w:p>
        </w:tc>
        <w:tc>
          <w:tcPr>
            <w:tcW w:w="1650" w:type="dxa"/>
          </w:tcPr>
          <w:p>
            <w:pPr>
              <w:pStyle w:val="0"/>
              <w:jc w:val="center"/>
            </w:pPr>
            <w:r>
              <w:rPr>
                <w:sz w:val="20"/>
              </w:rPr>
              <w:t xml:space="preserve">3</w:t>
            </w:r>
          </w:p>
        </w:tc>
        <w:tc>
          <w:tcPr>
            <w:tcW w:w="825" w:type="dxa"/>
          </w:tcPr>
          <w:p>
            <w:pPr>
              <w:pStyle w:val="0"/>
              <w:jc w:val="center"/>
            </w:pPr>
            <w:r>
              <w:rPr>
                <w:sz w:val="20"/>
              </w:rPr>
              <w:t xml:space="preserve">4</w:t>
            </w:r>
          </w:p>
        </w:tc>
        <w:tc>
          <w:tcPr>
            <w:tcW w:w="990" w:type="dxa"/>
          </w:tcPr>
          <w:p>
            <w:pPr>
              <w:pStyle w:val="0"/>
              <w:jc w:val="center"/>
            </w:pPr>
            <w:r>
              <w:rPr>
                <w:sz w:val="20"/>
              </w:rPr>
              <w:t xml:space="preserve">5</w:t>
            </w:r>
          </w:p>
        </w:tc>
        <w:tc>
          <w:tcPr>
            <w:tcW w:w="825" w:type="dxa"/>
          </w:tcPr>
          <w:p>
            <w:pPr>
              <w:pStyle w:val="0"/>
              <w:jc w:val="center"/>
            </w:pPr>
            <w:r>
              <w:rPr>
                <w:sz w:val="20"/>
              </w:rPr>
              <w:t xml:space="preserve">6</w:t>
            </w:r>
          </w:p>
        </w:tc>
        <w:tc>
          <w:tcPr>
            <w:tcW w:w="825" w:type="dxa"/>
          </w:tcPr>
          <w:p>
            <w:pPr>
              <w:pStyle w:val="0"/>
              <w:jc w:val="center"/>
            </w:pPr>
            <w:r>
              <w:rPr>
                <w:sz w:val="20"/>
              </w:rPr>
              <w:t xml:space="preserve">7</w:t>
            </w:r>
          </w:p>
        </w:tc>
        <w:tc>
          <w:tcPr>
            <w:tcW w:w="1650" w:type="dxa"/>
          </w:tcPr>
          <w:p>
            <w:pPr>
              <w:pStyle w:val="0"/>
              <w:jc w:val="center"/>
            </w:pPr>
            <w:r>
              <w:rPr>
                <w:sz w:val="20"/>
              </w:rPr>
              <w:t xml:space="preserve">8</w:t>
            </w:r>
          </w:p>
        </w:tc>
      </w:tr>
      <w:tr>
        <w:tc>
          <w:tcPr>
            <w:tcW w:w="1155" w:type="dxa"/>
          </w:tcPr>
          <w:p>
            <w:pPr>
              <w:pStyle w:val="0"/>
              <w:outlineLvl w:val="2"/>
              <w:jc w:val="center"/>
            </w:pPr>
            <w:r>
              <w:rPr>
                <w:sz w:val="20"/>
              </w:rPr>
              <w:t xml:space="preserve">1</w:t>
            </w:r>
          </w:p>
        </w:tc>
        <w:tc>
          <w:tcPr>
            <w:tcW w:w="4290" w:type="dxa"/>
          </w:tcPr>
          <w:p>
            <w:pPr>
              <w:pStyle w:val="0"/>
            </w:pPr>
            <w:r>
              <w:rPr>
                <w:sz w:val="20"/>
              </w:rPr>
              <w:t xml:space="preserve">Реагенты</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1.1</w:t>
            </w:r>
          </w:p>
        </w:tc>
        <w:tc>
          <w:tcPr>
            <w:tcW w:w="4290" w:type="dxa"/>
          </w:tcPr>
          <w:p>
            <w:pPr>
              <w:pStyle w:val="0"/>
            </w:pPr>
            <w:r>
              <w:rPr>
                <w:sz w:val="20"/>
              </w:rPr>
              <w:t xml:space="preserve">Вид реагентов 1</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1.1.1</w:t>
            </w:r>
          </w:p>
        </w:tc>
        <w:tc>
          <w:tcPr>
            <w:tcW w:w="4290" w:type="dxa"/>
          </w:tcPr>
          <w:p>
            <w:pPr>
              <w:pStyle w:val="0"/>
            </w:pPr>
            <w:r>
              <w:rPr>
                <w:sz w:val="20"/>
              </w:rPr>
              <w:t xml:space="preserve">Расход (ед. изм.)</w:t>
            </w:r>
          </w:p>
        </w:tc>
        <w:tc>
          <w:tcPr>
            <w:tcW w:w="1650" w:type="dxa"/>
          </w:tcPr>
          <w:p>
            <w:pPr>
              <w:pStyle w:val="0"/>
              <w:jc w:val="center"/>
            </w:pPr>
            <w:r>
              <w:rPr>
                <w:sz w:val="20"/>
              </w:rPr>
              <w:t xml:space="preserve">т</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1.1.2</w:t>
            </w:r>
          </w:p>
        </w:tc>
        <w:tc>
          <w:tcPr>
            <w:tcW w:w="4290" w:type="dxa"/>
          </w:tcPr>
          <w:p>
            <w:pPr>
              <w:pStyle w:val="0"/>
            </w:pPr>
            <w:r>
              <w:rPr>
                <w:sz w:val="20"/>
              </w:rPr>
              <w:t xml:space="preserve">Цена за тонну</w:t>
            </w:r>
          </w:p>
        </w:tc>
        <w:tc>
          <w:tcPr>
            <w:tcW w:w="1650" w:type="dxa"/>
          </w:tcPr>
          <w:p>
            <w:pPr>
              <w:pStyle w:val="0"/>
              <w:jc w:val="center"/>
            </w:pPr>
            <w:r>
              <w:rPr>
                <w:sz w:val="20"/>
              </w:rPr>
              <w:t xml:space="preserve">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1.1.3</w:t>
            </w:r>
          </w:p>
        </w:tc>
        <w:tc>
          <w:tcPr>
            <w:tcW w:w="4290" w:type="dxa"/>
          </w:tcPr>
          <w:p>
            <w:pPr>
              <w:pStyle w:val="0"/>
            </w:pPr>
            <w:r>
              <w:rPr>
                <w:sz w:val="20"/>
              </w:rPr>
              <w:t xml:space="preserve">Суммарные затраты</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1.n</w:t>
            </w:r>
          </w:p>
        </w:tc>
        <w:tc>
          <w:tcPr>
            <w:tcW w:w="4290" w:type="dxa"/>
          </w:tcPr>
          <w:p>
            <w:pPr>
              <w:pStyle w:val="0"/>
            </w:pPr>
            <w:r>
              <w:rPr>
                <w:sz w:val="20"/>
              </w:rPr>
              <w:t xml:space="preserve">Вид реагентов n</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1.n + 1</w:t>
            </w:r>
          </w:p>
        </w:tc>
        <w:tc>
          <w:tcPr>
            <w:tcW w:w="4290" w:type="dxa"/>
          </w:tcPr>
          <w:p>
            <w:pPr>
              <w:pStyle w:val="0"/>
            </w:pPr>
            <w:r>
              <w:rPr>
                <w:sz w:val="20"/>
              </w:rPr>
              <w:t xml:space="preserve">Итого:</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outlineLvl w:val="2"/>
              <w:jc w:val="center"/>
            </w:pPr>
            <w:r>
              <w:rPr>
                <w:sz w:val="20"/>
              </w:rPr>
              <w:t xml:space="preserve">2</w:t>
            </w:r>
          </w:p>
        </w:tc>
        <w:tc>
          <w:tcPr>
            <w:tcW w:w="4290" w:type="dxa"/>
          </w:tcPr>
          <w:p>
            <w:pPr>
              <w:pStyle w:val="0"/>
            </w:pPr>
            <w:r>
              <w:rPr>
                <w:sz w:val="20"/>
              </w:rPr>
              <w:t xml:space="preserve">Расходы на горюче-смазочные материалы, превышающие 5 процентов общей величины расходов на сырье и материалы</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2.1</w:t>
            </w:r>
          </w:p>
        </w:tc>
        <w:tc>
          <w:tcPr>
            <w:tcW w:w="4290" w:type="dxa"/>
          </w:tcPr>
          <w:p>
            <w:pPr>
              <w:pStyle w:val="0"/>
            </w:pPr>
            <w:r>
              <w:rPr>
                <w:sz w:val="20"/>
              </w:rPr>
              <w:t xml:space="preserve">Вид ГСМ 1</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2.1.1</w:t>
            </w:r>
          </w:p>
        </w:tc>
        <w:tc>
          <w:tcPr>
            <w:tcW w:w="4290" w:type="dxa"/>
          </w:tcPr>
          <w:p>
            <w:pPr>
              <w:pStyle w:val="0"/>
            </w:pPr>
            <w:r>
              <w:rPr>
                <w:sz w:val="20"/>
              </w:rPr>
              <w:t xml:space="preserve">Расход (ед. изм.)</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2.1.2</w:t>
            </w:r>
          </w:p>
        </w:tc>
        <w:tc>
          <w:tcPr>
            <w:tcW w:w="4290" w:type="dxa"/>
          </w:tcPr>
          <w:p>
            <w:pPr>
              <w:pStyle w:val="0"/>
            </w:pPr>
            <w:r>
              <w:rPr>
                <w:sz w:val="20"/>
              </w:rPr>
              <w:t xml:space="preserve">Цена за единицу</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2.1.3</w:t>
            </w:r>
          </w:p>
        </w:tc>
        <w:tc>
          <w:tcPr>
            <w:tcW w:w="4290" w:type="dxa"/>
          </w:tcPr>
          <w:p>
            <w:pPr>
              <w:pStyle w:val="0"/>
            </w:pPr>
            <w:r>
              <w:rPr>
                <w:sz w:val="20"/>
              </w:rPr>
              <w:t xml:space="preserve">Суммарные затраты</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2.n</w:t>
            </w:r>
          </w:p>
        </w:tc>
        <w:tc>
          <w:tcPr>
            <w:tcW w:w="4290" w:type="dxa"/>
          </w:tcPr>
          <w:p>
            <w:pPr>
              <w:pStyle w:val="0"/>
            </w:pPr>
            <w:r>
              <w:rPr>
                <w:sz w:val="20"/>
              </w:rPr>
              <w:t xml:space="preserve">Вид ГСМ n</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outlineLvl w:val="2"/>
              <w:jc w:val="center"/>
            </w:pPr>
            <w:r>
              <w:rPr>
                <w:sz w:val="20"/>
              </w:rPr>
              <w:t xml:space="preserve">3</w:t>
            </w:r>
          </w:p>
        </w:tc>
        <w:tc>
          <w:tcPr>
            <w:tcW w:w="4290" w:type="dxa"/>
          </w:tcPr>
          <w:p>
            <w:pPr>
              <w:pStyle w:val="0"/>
            </w:pPr>
            <w:r>
              <w:rPr>
                <w:sz w:val="20"/>
              </w:rPr>
              <w:t xml:space="preserve">Расходы на материалы и малоценные основные средства, превышающие 5 процентов общей величины расходов на сырье и материалы</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3.1</w:t>
            </w:r>
          </w:p>
        </w:tc>
        <w:tc>
          <w:tcPr>
            <w:tcW w:w="4290" w:type="dxa"/>
          </w:tcPr>
          <w:p>
            <w:pPr>
              <w:pStyle w:val="0"/>
            </w:pPr>
            <w:r>
              <w:rPr>
                <w:sz w:val="20"/>
              </w:rPr>
              <w:t xml:space="preserve">Вид материалов и малоценных основных средств 1</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3.1.1</w:t>
            </w:r>
          </w:p>
        </w:tc>
        <w:tc>
          <w:tcPr>
            <w:tcW w:w="4290" w:type="dxa"/>
          </w:tcPr>
          <w:p>
            <w:pPr>
              <w:pStyle w:val="0"/>
            </w:pPr>
            <w:r>
              <w:rPr>
                <w:sz w:val="20"/>
              </w:rPr>
              <w:t xml:space="preserve">Расход (ед. изм.)</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3.1.2</w:t>
            </w:r>
          </w:p>
        </w:tc>
        <w:tc>
          <w:tcPr>
            <w:tcW w:w="4290" w:type="dxa"/>
          </w:tcPr>
          <w:p>
            <w:pPr>
              <w:pStyle w:val="0"/>
            </w:pPr>
            <w:r>
              <w:rPr>
                <w:sz w:val="20"/>
              </w:rPr>
              <w:t xml:space="preserve">Цена за единицу</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3.1.3</w:t>
            </w:r>
          </w:p>
        </w:tc>
        <w:tc>
          <w:tcPr>
            <w:tcW w:w="4290" w:type="dxa"/>
          </w:tcPr>
          <w:p>
            <w:pPr>
              <w:pStyle w:val="0"/>
            </w:pPr>
            <w:r>
              <w:rPr>
                <w:sz w:val="20"/>
              </w:rPr>
              <w:t xml:space="preserve">Суммарные затраты</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1155" w:type="dxa"/>
          </w:tcPr>
          <w:p>
            <w:pPr>
              <w:pStyle w:val="0"/>
              <w:jc w:val="center"/>
            </w:pPr>
            <w:r>
              <w:rPr>
                <w:sz w:val="20"/>
              </w:rPr>
              <w:t xml:space="preserve">3.n</w:t>
            </w:r>
          </w:p>
        </w:tc>
        <w:tc>
          <w:tcPr>
            <w:tcW w:w="4290" w:type="dxa"/>
          </w:tcPr>
          <w:p>
            <w:pPr>
              <w:pStyle w:val="0"/>
            </w:pPr>
            <w:r>
              <w:rPr>
                <w:sz w:val="20"/>
              </w:rPr>
              <w:t xml:space="preserve">Вид материалов и малоценных основных средств n</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2.1.2</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bookmarkStart w:id="3354" w:name="P3354"/>
    <w:bookmarkEnd w:id="3354"/>
    <w:p>
      <w:pPr>
        <w:pStyle w:val="0"/>
        <w:jc w:val="center"/>
      </w:pPr>
      <w:r>
        <w:rPr>
          <w:sz w:val="20"/>
        </w:rPr>
        <w:t xml:space="preserve">Расходы на приобретение электрической энергии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20"/>
        <w:gridCol w:w="4455"/>
        <w:gridCol w:w="1650"/>
        <w:gridCol w:w="825"/>
        <w:gridCol w:w="825"/>
        <w:gridCol w:w="990"/>
        <w:gridCol w:w="825"/>
        <w:gridCol w:w="1320"/>
      </w:tblGrid>
      <w:tr>
        <w:tc>
          <w:tcPr>
            <w:tcW w:w="1320" w:type="dxa"/>
            <w:vMerge w:val="restart"/>
          </w:tcPr>
          <w:p>
            <w:pPr>
              <w:pStyle w:val="0"/>
              <w:jc w:val="center"/>
            </w:pPr>
            <w:r>
              <w:rPr>
                <w:sz w:val="20"/>
              </w:rPr>
              <w:t xml:space="preserve">N п/п</w:t>
            </w:r>
          </w:p>
        </w:tc>
        <w:tc>
          <w:tcPr>
            <w:tcW w:w="4455" w:type="dxa"/>
            <w:vMerge w:val="restart"/>
          </w:tcPr>
          <w:p>
            <w:pPr>
              <w:pStyle w:val="0"/>
              <w:jc w:val="center"/>
            </w:pPr>
            <w:r>
              <w:rPr>
                <w:sz w:val="20"/>
              </w:rPr>
              <w:t xml:space="preserve">Наименование</w:t>
            </w:r>
          </w:p>
        </w:tc>
        <w:tc>
          <w:tcPr>
            <w:tcW w:w="1650" w:type="dxa"/>
            <w:vMerge w:val="restart"/>
          </w:tcPr>
          <w:p>
            <w:pPr>
              <w:pStyle w:val="0"/>
              <w:jc w:val="center"/>
            </w:pPr>
            <w:r>
              <w:rPr>
                <w:sz w:val="20"/>
              </w:rPr>
              <w:t xml:space="preserve">Единица измерения</w:t>
            </w:r>
          </w:p>
        </w:tc>
        <w:tc>
          <w:tcPr>
            <w:gridSpan w:val="2"/>
            <w:tcW w:w="1650" w:type="dxa"/>
          </w:tcPr>
          <w:p>
            <w:pPr>
              <w:pStyle w:val="0"/>
              <w:jc w:val="center"/>
            </w:pPr>
            <w:r>
              <w:rPr>
                <w:sz w:val="20"/>
              </w:rPr>
              <w:t xml:space="preserve">Истекший год (i-2)</w:t>
            </w:r>
          </w:p>
        </w:tc>
        <w:tc>
          <w:tcPr>
            <w:gridSpan w:val="2"/>
            <w:tcW w:w="1815" w:type="dxa"/>
          </w:tcPr>
          <w:p>
            <w:pPr>
              <w:pStyle w:val="0"/>
              <w:jc w:val="center"/>
            </w:pPr>
            <w:r>
              <w:rPr>
                <w:sz w:val="20"/>
              </w:rPr>
              <w:t xml:space="preserve">Текущий год (i-1)</w:t>
            </w:r>
          </w:p>
        </w:tc>
        <w:tc>
          <w:tcPr>
            <w:tcW w:w="1320"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825" w:type="dxa"/>
          </w:tcPr>
          <w:p>
            <w:pPr>
              <w:pStyle w:val="0"/>
              <w:jc w:val="center"/>
            </w:pPr>
            <w:r>
              <w:rPr>
                <w:sz w:val="20"/>
              </w:rPr>
              <w:t xml:space="preserve">план</w:t>
            </w:r>
          </w:p>
        </w:tc>
        <w:tc>
          <w:tcPr>
            <w:tcW w:w="825" w:type="dxa"/>
          </w:tcPr>
          <w:p>
            <w:pPr>
              <w:pStyle w:val="0"/>
              <w:jc w:val="center"/>
            </w:pPr>
            <w:r>
              <w:rPr>
                <w:sz w:val="20"/>
              </w:rPr>
              <w:t xml:space="preserve">факт</w:t>
            </w:r>
          </w:p>
        </w:tc>
        <w:tc>
          <w:tcPr>
            <w:tcW w:w="990" w:type="dxa"/>
          </w:tcPr>
          <w:p>
            <w:pPr>
              <w:pStyle w:val="0"/>
              <w:jc w:val="center"/>
            </w:pPr>
            <w:r>
              <w:rPr>
                <w:sz w:val="20"/>
              </w:rPr>
              <w:t xml:space="preserve">план</w:t>
            </w:r>
          </w:p>
        </w:tc>
        <w:tc>
          <w:tcPr>
            <w:tcW w:w="825" w:type="dxa"/>
          </w:tcPr>
          <w:p>
            <w:pPr>
              <w:pStyle w:val="0"/>
              <w:jc w:val="center"/>
            </w:pPr>
            <w:r>
              <w:rPr>
                <w:sz w:val="20"/>
              </w:rPr>
              <w:t xml:space="preserve">ожид</w:t>
            </w:r>
          </w:p>
        </w:tc>
        <w:tc>
          <w:tcPr>
            <w:vMerge w:val="continue"/>
          </w:tcPr>
          <w:p/>
        </w:tc>
      </w:tr>
      <w:tr>
        <w:tc>
          <w:tcPr>
            <w:tcW w:w="1320" w:type="dxa"/>
          </w:tcPr>
          <w:p>
            <w:pPr>
              <w:pStyle w:val="0"/>
              <w:jc w:val="center"/>
            </w:pPr>
            <w:r>
              <w:rPr>
                <w:sz w:val="20"/>
              </w:rPr>
              <w:t xml:space="preserve">1</w:t>
            </w:r>
          </w:p>
        </w:tc>
        <w:tc>
          <w:tcPr>
            <w:tcW w:w="4455" w:type="dxa"/>
          </w:tcPr>
          <w:p>
            <w:pPr>
              <w:pStyle w:val="0"/>
              <w:jc w:val="center"/>
            </w:pPr>
            <w:r>
              <w:rPr>
                <w:sz w:val="20"/>
              </w:rPr>
              <w:t xml:space="preserve">2</w:t>
            </w:r>
          </w:p>
        </w:tc>
        <w:tc>
          <w:tcPr>
            <w:tcW w:w="1650" w:type="dxa"/>
          </w:tcPr>
          <w:p>
            <w:pPr>
              <w:pStyle w:val="0"/>
              <w:jc w:val="center"/>
            </w:pPr>
            <w:r>
              <w:rPr>
                <w:sz w:val="20"/>
              </w:rPr>
              <w:t xml:space="preserve">3</w:t>
            </w:r>
          </w:p>
        </w:tc>
        <w:tc>
          <w:tcPr>
            <w:tcW w:w="825" w:type="dxa"/>
          </w:tcPr>
          <w:p>
            <w:pPr>
              <w:pStyle w:val="0"/>
              <w:jc w:val="center"/>
            </w:pPr>
            <w:r>
              <w:rPr>
                <w:sz w:val="20"/>
              </w:rPr>
              <w:t xml:space="preserve">4</w:t>
            </w:r>
          </w:p>
        </w:tc>
        <w:tc>
          <w:tcPr>
            <w:tcW w:w="825" w:type="dxa"/>
          </w:tcPr>
          <w:p>
            <w:pPr>
              <w:pStyle w:val="0"/>
              <w:jc w:val="center"/>
            </w:pPr>
            <w:r>
              <w:rPr>
                <w:sz w:val="20"/>
              </w:rPr>
              <w:t xml:space="preserve">5</w:t>
            </w:r>
          </w:p>
        </w:tc>
        <w:tc>
          <w:tcPr>
            <w:tcW w:w="990" w:type="dxa"/>
          </w:tcPr>
          <w:p>
            <w:pPr>
              <w:pStyle w:val="0"/>
              <w:jc w:val="center"/>
            </w:pPr>
            <w:r>
              <w:rPr>
                <w:sz w:val="20"/>
              </w:rPr>
              <w:t xml:space="preserve">6</w:t>
            </w:r>
          </w:p>
        </w:tc>
        <w:tc>
          <w:tcPr>
            <w:tcW w:w="825" w:type="dxa"/>
          </w:tcPr>
          <w:p>
            <w:pPr>
              <w:pStyle w:val="0"/>
              <w:jc w:val="center"/>
            </w:pPr>
            <w:r>
              <w:rPr>
                <w:sz w:val="20"/>
              </w:rPr>
              <w:t xml:space="preserve">7</w:t>
            </w:r>
          </w:p>
        </w:tc>
        <w:tc>
          <w:tcPr>
            <w:tcW w:w="1320" w:type="dxa"/>
          </w:tcPr>
          <w:p>
            <w:pPr>
              <w:pStyle w:val="0"/>
              <w:jc w:val="center"/>
            </w:pPr>
            <w:r>
              <w:rPr>
                <w:sz w:val="20"/>
              </w:rPr>
              <w:t xml:space="preserve">8</w:t>
            </w:r>
          </w:p>
        </w:tc>
      </w:tr>
      <w:tr>
        <w:tc>
          <w:tcPr>
            <w:tcW w:w="1320" w:type="dxa"/>
          </w:tcPr>
          <w:p>
            <w:pPr>
              <w:pStyle w:val="0"/>
              <w:jc w:val="center"/>
            </w:pPr>
            <w:r>
              <w:rPr>
                <w:sz w:val="20"/>
              </w:rPr>
              <w:t xml:space="preserve">A</w:t>
            </w:r>
          </w:p>
        </w:tc>
        <w:tc>
          <w:tcPr>
            <w:tcW w:w="4455" w:type="dxa"/>
          </w:tcPr>
          <w:p>
            <w:pPr>
              <w:pStyle w:val="0"/>
            </w:pPr>
            <w:r>
              <w:rPr>
                <w:sz w:val="20"/>
              </w:rPr>
              <w:t xml:space="preserve">Поставщик</w:t>
            </w:r>
          </w:p>
        </w:tc>
        <w:tc>
          <w:tcPr>
            <w:tcW w:w="165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w:t>
            </w:r>
          </w:p>
        </w:tc>
        <w:tc>
          <w:tcPr>
            <w:tcW w:w="4455" w:type="dxa"/>
          </w:tcPr>
          <w:p>
            <w:pPr>
              <w:pStyle w:val="0"/>
            </w:pPr>
            <w:r>
              <w:rPr>
                <w:sz w:val="20"/>
              </w:rPr>
              <w:t xml:space="preserve">Объем покупной энергии</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w:t>
            </w:r>
          </w:p>
        </w:tc>
        <w:tc>
          <w:tcPr>
            <w:tcW w:w="4455" w:type="dxa"/>
          </w:tcPr>
          <w:p>
            <w:pPr>
              <w:pStyle w:val="0"/>
            </w:pPr>
            <w:r>
              <w:rPr>
                <w:sz w:val="20"/>
              </w:rPr>
              <w:t xml:space="preserve">Объем покупной энергии по одноставочному тарифу</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1.1.1</w:t>
            </w:r>
          </w:p>
        </w:tc>
        <w:tc>
          <w:tcPr>
            <w:tcW w:w="4455" w:type="dxa"/>
          </w:tcPr>
          <w:p>
            <w:pPr>
              <w:pStyle w:val="0"/>
              <w:ind w:left="283"/>
            </w:pPr>
            <w:r>
              <w:rPr>
                <w:sz w:val="20"/>
              </w:rPr>
              <w:t xml:space="preserve">низкое напряжение</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1.1.2</w:t>
            </w:r>
          </w:p>
        </w:tc>
        <w:tc>
          <w:tcPr>
            <w:tcW w:w="4455" w:type="dxa"/>
          </w:tcPr>
          <w:p>
            <w:pPr>
              <w:pStyle w:val="0"/>
              <w:ind w:left="283"/>
            </w:pPr>
            <w:r>
              <w:rPr>
                <w:sz w:val="20"/>
              </w:rPr>
              <w:t xml:space="preserve">среднее напряжение 1</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1.1.3</w:t>
            </w:r>
          </w:p>
        </w:tc>
        <w:tc>
          <w:tcPr>
            <w:tcW w:w="4455" w:type="dxa"/>
          </w:tcPr>
          <w:p>
            <w:pPr>
              <w:pStyle w:val="0"/>
              <w:ind w:left="283"/>
            </w:pPr>
            <w:r>
              <w:rPr>
                <w:sz w:val="20"/>
              </w:rPr>
              <w:t xml:space="preserve">среднее напряжение 2</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1.1.4</w:t>
            </w:r>
          </w:p>
        </w:tc>
        <w:tc>
          <w:tcPr>
            <w:tcW w:w="4455" w:type="dxa"/>
          </w:tcPr>
          <w:p>
            <w:pPr>
              <w:pStyle w:val="0"/>
              <w:ind w:left="283"/>
            </w:pPr>
            <w:r>
              <w:rPr>
                <w:sz w:val="20"/>
              </w:rPr>
              <w:t xml:space="preserve">высокое напряжение</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1.1.5</w:t>
            </w:r>
          </w:p>
        </w:tc>
        <w:tc>
          <w:tcPr>
            <w:tcW w:w="4455" w:type="dxa"/>
          </w:tcPr>
          <w:p>
            <w:pPr>
              <w:pStyle w:val="0"/>
              <w:ind w:left="283"/>
            </w:pPr>
            <w:r>
              <w:rPr>
                <w:sz w:val="20"/>
              </w:rPr>
              <w:t xml:space="preserve">Без разбивки по напряжению</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w:t>
            </w:r>
          </w:p>
        </w:tc>
        <w:tc>
          <w:tcPr>
            <w:tcW w:w="4455" w:type="dxa"/>
          </w:tcPr>
          <w:p>
            <w:pPr>
              <w:pStyle w:val="0"/>
            </w:pPr>
            <w:r>
              <w:rPr>
                <w:sz w:val="20"/>
              </w:rPr>
              <w:t xml:space="preserve">Объем покупной электроэнергии по двухставочному тарифу</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1.2.1</w:t>
            </w:r>
          </w:p>
        </w:tc>
        <w:tc>
          <w:tcPr>
            <w:tcW w:w="4455" w:type="dxa"/>
          </w:tcPr>
          <w:p>
            <w:pPr>
              <w:pStyle w:val="0"/>
            </w:pPr>
            <w:r>
              <w:rPr>
                <w:sz w:val="20"/>
              </w:rPr>
              <w:t xml:space="preserve">Мощность</w:t>
            </w:r>
          </w:p>
        </w:tc>
        <w:tc>
          <w:tcPr>
            <w:tcW w:w="1650"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1.2.1.1</w:t>
            </w:r>
          </w:p>
        </w:tc>
        <w:tc>
          <w:tcPr>
            <w:tcW w:w="4455" w:type="dxa"/>
          </w:tcPr>
          <w:p>
            <w:pPr>
              <w:pStyle w:val="0"/>
              <w:ind w:left="283"/>
            </w:pPr>
            <w:r>
              <w:rPr>
                <w:sz w:val="20"/>
              </w:rPr>
              <w:t xml:space="preserve">низкое напряжение</w:t>
            </w:r>
          </w:p>
        </w:tc>
        <w:tc>
          <w:tcPr>
            <w:tcW w:w="1650"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1.2.1.2</w:t>
            </w:r>
          </w:p>
        </w:tc>
        <w:tc>
          <w:tcPr>
            <w:tcW w:w="4455" w:type="dxa"/>
          </w:tcPr>
          <w:p>
            <w:pPr>
              <w:pStyle w:val="0"/>
              <w:ind w:left="283"/>
            </w:pPr>
            <w:r>
              <w:rPr>
                <w:sz w:val="20"/>
              </w:rPr>
              <w:t xml:space="preserve">среднее напряжение 1</w:t>
            </w:r>
          </w:p>
        </w:tc>
        <w:tc>
          <w:tcPr>
            <w:tcW w:w="1650"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1.2.1.3</w:t>
            </w:r>
          </w:p>
        </w:tc>
        <w:tc>
          <w:tcPr>
            <w:tcW w:w="4455" w:type="dxa"/>
          </w:tcPr>
          <w:p>
            <w:pPr>
              <w:pStyle w:val="0"/>
              <w:ind w:left="283"/>
            </w:pPr>
            <w:r>
              <w:rPr>
                <w:sz w:val="20"/>
              </w:rPr>
              <w:t xml:space="preserve">среднее напряжение 2</w:t>
            </w:r>
          </w:p>
        </w:tc>
        <w:tc>
          <w:tcPr>
            <w:tcW w:w="1650"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1.3.1.4</w:t>
            </w:r>
          </w:p>
        </w:tc>
        <w:tc>
          <w:tcPr>
            <w:tcW w:w="4455" w:type="dxa"/>
          </w:tcPr>
          <w:p>
            <w:pPr>
              <w:pStyle w:val="0"/>
              <w:ind w:left="283"/>
            </w:pPr>
            <w:r>
              <w:rPr>
                <w:sz w:val="20"/>
              </w:rPr>
              <w:t xml:space="preserve">высокое напряжение</w:t>
            </w:r>
          </w:p>
        </w:tc>
        <w:tc>
          <w:tcPr>
            <w:tcW w:w="1650"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1.3.1.5</w:t>
            </w:r>
          </w:p>
        </w:tc>
        <w:tc>
          <w:tcPr>
            <w:tcW w:w="4455" w:type="dxa"/>
          </w:tcPr>
          <w:p>
            <w:pPr>
              <w:pStyle w:val="0"/>
              <w:ind w:left="283"/>
            </w:pPr>
            <w:r>
              <w:rPr>
                <w:sz w:val="20"/>
              </w:rPr>
              <w:t xml:space="preserve">генерация напряжения</w:t>
            </w:r>
          </w:p>
        </w:tc>
        <w:tc>
          <w:tcPr>
            <w:tcW w:w="1650"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1.2.2</w:t>
            </w:r>
          </w:p>
        </w:tc>
        <w:tc>
          <w:tcPr>
            <w:tcW w:w="4455" w:type="dxa"/>
          </w:tcPr>
          <w:p>
            <w:pPr>
              <w:pStyle w:val="0"/>
            </w:pPr>
            <w:r>
              <w:rPr>
                <w:sz w:val="20"/>
              </w:rPr>
              <w:t xml:space="preserve">Активная электроэнергия</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1.2.2.1</w:t>
            </w:r>
          </w:p>
        </w:tc>
        <w:tc>
          <w:tcPr>
            <w:tcW w:w="4455" w:type="dxa"/>
          </w:tcPr>
          <w:p>
            <w:pPr>
              <w:pStyle w:val="0"/>
              <w:ind w:left="283"/>
            </w:pPr>
            <w:r>
              <w:rPr>
                <w:sz w:val="20"/>
              </w:rPr>
              <w:t xml:space="preserve">низкое напряжение</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1.2.2.2</w:t>
            </w:r>
          </w:p>
        </w:tc>
        <w:tc>
          <w:tcPr>
            <w:tcW w:w="4455" w:type="dxa"/>
          </w:tcPr>
          <w:p>
            <w:pPr>
              <w:pStyle w:val="0"/>
              <w:ind w:left="283"/>
            </w:pPr>
            <w:r>
              <w:rPr>
                <w:sz w:val="20"/>
              </w:rPr>
              <w:t xml:space="preserve">среднее напряжение 1</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1.2.2.3</w:t>
            </w:r>
          </w:p>
        </w:tc>
        <w:tc>
          <w:tcPr>
            <w:tcW w:w="4455" w:type="dxa"/>
          </w:tcPr>
          <w:p>
            <w:pPr>
              <w:pStyle w:val="0"/>
              <w:ind w:left="283"/>
            </w:pPr>
            <w:r>
              <w:rPr>
                <w:sz w:val="20"/>
              </w:rPr>
              <w:t xml:space="preserve">среднее напряжение 2</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1.2.2.4</w:t>
            </w:r>
          </w:p>
        </w:tc>
        <w:tc>
          <w:tcPr>
            <w:tcW w:w="4455" w:type="dxa"/>
          </w:tcPr>
          <w:p>
            <w:pPr>
              <w:pStyle w:val="0"/>
              <w:ind w:left="283"/>
            </w:pPr>
            <w:r>
              <w:rPr>
                <w:sz w:val="20"/>
              </w:rPr>
              <w:t xml:space="preserve">высокое напряжение</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1.2.2.5</w:t>
            </w:r>
          </w:p>
        </w:tc>
        <w:tc>
          <w:tcPr>
            <w:tcW w:w="4455" w:type="dxa"/>
          </w:tcPr>
          <w:p>
            <w:pPr>
              <w:pStyle w:val="0"/>
              <w:ind w:left="283"/>
            </w:pPr>
            <w:r>
              <w:rPr>
                <w:sz w:val="20"/>
              </w:rPr>
              <w:t xml:space="preserve">генерация напряжения</w:t>
            </w:r>
          </w:p>
        </w:tc>
        <w:tc>
          <w:tcPr>
            <w:tcW w:w="1650"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w:t>
            </w:r>
          </w:p>
        </w:tc>
        <w:tc>
          <w:tcPr>
            <w:tcW w:w="4455" w:type="dxa"/>
          </w:tcPr>
          <w:p>
            <w:pPr>
              <w:pStyle w:val="0"/>
            </w:pPr>
            <w:r>
              <w:rPr>
                <w:sz w:val="20"/>
              </w:rPr>
              <w:t xml:space="preserve">Тариф на электроэнергию и мощность</w:t>
            </w:r>
          </w:p>
        </w:tc>
        <w:tc>
          <w:tcPr>
            <w:tcW w:w="165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2.1</w:t>
            </w:r>
          </w:p>
        </w:tc>
        <w:tc>
          <w:tcPr>
            <w:tcW w:w="4455" w:type="dxa"/>
          </w:tcPr>
          <w:p>
            <w:pPr>
              <w:pStyle w:val="0"/>
              <w:ind w:left="283"/>
            </w:pPr>
            <w:r>
              <w:rPr>
                <w:sz w:val="20"/>
              </w:rPr>
              <w:t xml:space="preserve">по одноставочному тарифу</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2.1.1</w:t>
            </w:r>
          </w:p>
        </w:tc>
        <w:tc>
          <w:tcPr>
            <w:tcW w:w="4455" w:type="dxa"/>
          </w:tcPr>
          <w:p>
            <w:pPr>
              <w:pStyle w:val="0"/>
              <w:ind w:left="283"/>
            </w:pPr>
            <w:r>
              <w:rPr>
                <w:sz w:val="20"/>
              </w:rPr>
              <w:t xml:space="preserve">низкое напряжение</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2.1.2</w:t>
            </w:r>
          </w:p>
        </w:tc>
        <w:tc>
          <w:tcPr>
            <w:tcW w:w="4455" w:type="dxa"/>
          </w:tcPr>
          <w:p>
            <w:pPr>
              <w:pStyle w:val="0"/>
              <w:ind w:left="283"/>
            </w:pPr>
            <w:r>
              <w:rPr>
                <w:sz w:val="20"/>
              </w:rPr>
              <w:t xml:space="preserve">среднее напряжение 1</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2.1.3</w:t>
            </w:r>
          </w:p>
        </w:tc>
        <w:tc>
          <w:tcPr>
            <w:tcW w:w="4455" w:type="dxa"/>
          </w:tcPr>
          <w:p>
            <w:pPr>
              <w:pStyle w:val="0"/>
              <w:ind w:left="283"/>
            </w:pPr>
            <w:r>
              <w:rPr>
                <w:sz w:val="20"/>
              </w:rPr>
              <w:t xml:space="preserve">среднее напряжение 2</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2.1.4</w:t>
            </w:r>
          </w:p>
        </w:tc>
        <w:tc>
          <w:tcPr>
            <w:tcW w:w="4455" w:type="dxa"/>
          </w:tcPr>
          <w:p>
            <w:pPr>
              <w:pStyle w:val="0"/>
              <w:ind w:left="283"/>
            </w:pPr>
            <w:r>
              <w:rPr>
                <w:sz w:val="20"/>
              </w:rPr>
              <w:t xml:space="preserve">высокое напряжение</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2.1.5</w:t>
            </w:r>
          </w:p>
        </w:tc>
        <w:tc>
          <w:tcPr>
            <w:tcW w:w="4455" w:type="dxa"/>
          </w:tcPr>
          <w:p>
            <w:pPr>
              <w:pStyle w:val="0"/>
            </w:pPr>
            <w:r>
              <w:rPr>
                <w:sz w:val="20"/>
              </w:rPr>
              <w:t xml:space="preserve">Тариф на активную электроэнергию без разбивки по напряжению</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2.1.6</w:t>
            </w:r>
          </w:p>
        </w:tc>
        <w:tc>
          <w:tcPr>
            <w:tcW w:w="4455" w:type="dxa"/>
          </w:tcPr>
          <w:p>
            <w:pPr>
              <w:pStyle w:val="0"/>
            </w:pPr>
            <w:r>
              <w:rPr>
                <w:sz w:val="20"/>
              </w:rPr>
              <w:t xml:space="preserve">Средний одноставочный тариф на электрическую энергию</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w:t>
            </w:r>
          </w:p>
        </w:tc>
        <w:tc>
          <w:tcPr>
            <w:tcW w:w="4455" w:type="dxa"/>
          </w:tcPr>
          <w:p>
            <w:pPr>
              <w:pStyle w:val="0"/>
            </w:pPr>
            <w:r>
              <w:rPr>
                <w:sz w:val="20"/>
              </w:rPr>
              <w:t xml:space="preserve">по двухставочному тарифу</w:t>
            </w:r>
          </w:p>
        </w:tc>
        <w:tc>
          <w:tcPr>
            <w:tcW w:w="165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2.2.1</w:t>
            </w:r>
          </w:p>
        </w:tc>
        <w:tc>
          <w:tcPr>
            <w:tcW w:w="4455" w:type="dxa"/>
          </w:tcPr>
          <w:p>
            <w:pPr>
              <w:pStyle w:val="0"/>
              <w:ind w:left="283"/>
            </w:pPr>
            <w:r>
              <w:rPr>
                <w:sz w:val="20"/>
              </w:rPr>
              <w:t xml:space="preserve">ставка за мощность</w:t>
            </w:r>
          </w:p>
        </w:tc>
        <w:tc>
          <w:tcPr>
            <w:tcW w:w="1650" w:type="dxa"/>
          </w:tcPr>
          <w:p>
            <w:pPr>
              <w:pStyle w:val="0"/>
              <w:jc w:val="center"/>
            </w:pPr>
            <w:r>
              <w:rPr>
                <w:sz w:val="20"/>
              </w:rPr>
              <w:t xml:space="preserve">руб./МВт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2.2.1.1</w:t>
            </w:r>
          </w:p>
        </w:tc>
        <w:tc>
          <w:tcPr>
            <w:tcW w:w="4455" w:type="dxa"/>
          </w:tcPr>
          <w:p>
            <w:pPr>
              <w:pStyle w:val="0"/>
              <w:ind w:left="283"/>
            </w:pPr>
            <w:r>
              <w:rPr>
                <w:sz w:val="20"/>
              </w:rPr>
              <w:t xml:space="preserve">низкое напряжение</w:t>
            </w:r>
          </w:p>
        </w:tc>
        <w:tc>
          <w:tcPr>
            <w:tcW w:w="1650" w:type="dxa"/>
          </w:tcPr>
          <w:p>
            <w:pPr>
              <w:pStyle w:val="0"/>
              <w:jc w:val="center"/>
            </w:pPr>
            <w:r>
              <w:rPr>
                <w:sz w:val="20"/>
              </w:rPr>
              <w:t xml:space="preserve">руб./МВт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2.2.1.2</w:t>
            </w:r>
          </w:p>
        </w:tc>
        <w:tc>
          <w:tcPr>
            <w:tcW w:w="4455" w:type="dxa"/>
          </w:tcPr>
          <w:p>
            <w:pPr>
              <w:pStyle w:val="0"/>
              <w:ind w:left="283"/>
            </w:pPr>
            <w:r>
              <w:rPr>
                <w:sz w:val="20"/>
              </w:rPr>
              <w:t xml:space="preserve">среднее напряжение 1</w:t>
            </w:r>
          </w:p>
        </w:tc>
        <w:tc>
          <w:tcPr>
            <w:tcW w:w="1650" w:type="dxa"/>
          </w:tcPr>
          <w:p>
            <w:pPr>
              <w:pStyle w:val="0"/>
              <w:jc w:val="center"/>
            </w:pPr>
            <w:r>
              <w:rPr>
                <w:sz w:val="20"/>
              </w:rPr>
              <w:t xml:space="preserve">руб./МВт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2.2.1.3</w:t>
            </w:r>
          </w:p>
        </w:tc>
        <w:tc>
          <w:tcPr>
            <w:tcW w:w="4455" w:type="dxa"/>
          </w:tcPr>
          <w:p>
            <w:pPr>
              <w:pStyle w:val="0"/>
              <w:ind w:left="283"/>
            </w:pPr>
            <w:r>
              <w:rPr>
                <w:sz w:val="20"/>
              </w:rPr>
              <w:t xml:space="preserve">среднее напряжение 2</w:t>
            </w:r>
          </w:p>
        </w:tc>
        <w:tc>
          <w:tcPr>
            <w:tcW w:w="1650" w:type="dxa"/>
          </w:tcPr>
          <w:p>
            <w:pPr>
              <w:pStyle w:val="0"/>
              <w:jc w:val="center"/>
            </w:pPr>
            <w:r>
              <w:rPr>
                <w:sz w:val="20"/>
              </w:rPr>
              <w:t xml:space="preserve">руб./МВт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2.2.1.4</w:t>
            </w:r>
          </w:p>
        </w:tc>
        <w:tc>
          <w:tcPr>
            <w:tcW w:w="4455" w:type="dxa"/>
          </w:tcPr>
          <w:p>
            <w:pPr>
              <w:pStyle w:val="0"/>
              <w:ind w:left="283"/>
            </w:pPr>
            <w:r>
              <w:rPr>
                <w:sz w:val="20"/>
              </w:rPr>
              <w:t xml:space="preserve">высокое напряжение</w:t>
            </w:r>
          </w:p>
        </w:tc>
        <w:tc>
          <w:tcPr>
            <w:tcW w:w="1650" w:type="dxa"/>
          </w:tcPr>
          <w:p>
            <w:pPr>
              <w:pStyle w:val="0"/>
              <w:jc w:val="center"/>
            </w:pPr>
            <w:r>
              <w:rPr>
                <w:sz w:val="20"/>
              </w:rPr>
              <w:t xml:space="preserve">руб./МВт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2.2.1.5</w:t>
            </w:r>
          </w:p>
        </w:tc>
        <w:tc>
          <w:tcPr>
            <w:tcW w:w="4455" w:type="dxa"/>
          </w:tcPr>
          <w:p>
            <w:pPr>
              <w:pStyle w:val="0"/>
              <w:ind w:left="283"/>
            </w:pPr>
            <w:r>
              <w:rPr>
                <w:sz w:val="20"/>
              </w:rPr>
              <w:t xml:space="preserve">генерация напряжения</w:t>
            </w:r>
          </w:p>
        </w:tc>
        <w:tc>
          <w:tcPr>
            <w:tcW w:w="1650" w:type="dxa"/>
          </w:tcPr>
          <w:p>
            <w:pPr>
              <w:pStyle w:val="0"/>
              <w:jc w:val="center"/>
            </w:pPr>
            <w:r>
              <w:rPr>
                <w:sz w:val="20"/>
              </w:rPr>
              <w:t xml:space="preserve">руб./МВт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2.2.2</w:t>
            </w:r>
          </w:p>
        </w:tc>
        <w:tc>
          <w:tcPr>
            <w:tcW w:w="4455" w:type="dxa"/>
          </w:tcPr>
          <w:p>
            <w:pPr>
              <w:pStyle w:val="0"/>
            </w:pPr>
            <w:r>
              <w:rPr>
                <w:sz w:val="20"/>
              </w:rPr>
              <w:t xml:space="preserve">Тариф на электроэнергию по двухставочному тарифу</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2.2.2.1</w:t>
            </w:r>
          </w:p>
        </w:tc>
        <w:tc>
          <w:tcPr>
            <w:tcW w:w="4455" w:type="dxa"/>
          </w:tcPr>
          <w:p>
            <w:pPr>
              <w:pStyle w:val="0"/>
              <w:ind w:left="283"/>
            </w:pPr>
            <w:r>
              <w:rPr>
                <w:sz w:val="20"/>
              </w:rPr>
              <w:t xml:space="preserve">низкое напряжение</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2.2.2.2</w:t>
            </w:r>
          </w:p>
        </w:tc>
        <w:tc>
          <w:tcPr>
            <w:tcW w:w="4455" w:type="dxa"/>
          </w:tcPr>
          <w:p>
            <w:pPr>
              <w:pStyle w:val="0"/>
              <w:ind w:left="283"/>
            </w:pPr>
            <w:r>
              <w:rPr>
                <w:sz w:val="20"/>
              </w:rPr>
              <w:t xml:space="preserve">среднее напряжение 1</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2.2.2.3</w:t>
            </w:r>
          </w:p>
        </w:tc>
        <w:tc>
          <w:tcPr>
            <w:tcW w:w="4455" w:type="dxa"/>
          </w:tcPr>
          <w:p>
            <w:pPr>
              <w:pStyle w:val="0"/>
              <w:ind w:left="283"/>
            </w:pPr>
            <w:r>
              <w:rPr>
                <w:sz w:val="20"/>
              </w:rPr>
              <w:t xml:space="preserve">среднее напряжение 2</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2.2.2.4</w:t>
            </w:r>
          </w:p>
        </w:tc>
        <w:tc>
          <w:tcPr>
            <w:tcW w:w="4455" w:type="dxa"/>
          </w:tcPr>
          <w:p>
            <w:pPr>
              <w:pStyle w:val="0"/>
              <w:ind w:left="283"/>
            </w:pPr>
            <w:r>
              <w:rPr>
                <w:sz w:val="20"/>
              </w:rPr>
              <w:t xml:space="preserve">высокое напряжение</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2.2.2.5</w:t>
            </w:r>
          </w:p>
        </w:tc>
        <w:tc>
          <w:tcPr>
            <w:tcW w:w="4455" w:type="dxa"/>
          </w:tcPr>
          <w:p>
            <w:pPr>
              <w:pStyle w:val="0"/>
              <w:ind w:left="283"/>
            </w:pPr>
            <w:r>
              <w:rPr>
                <w:sz w:val="20"/>
              </w:rPr>
              <w:t xml:space="preserve">генерация напряжения</w:t>
            </w:r>
          </w:p>
        </w:tc>
        <w:tc>
          <w:tcPr>
            <w:tcW w:w="1650" w:type="dxa"/>
          </w:tcPr>
          <w:p>
            <w:pPr>
              <w:pStyle w:val="0"/>
              <w:jc w:val="center"/>
            </w:pPr>
            <w:r>
              <w:rPr>
                <w:sz w:val="20"/>
              </w:rPr>
              <w:t xml:space="preserve">руб./кВт-ч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3</w:t>
            </w:r>
          </w:p>
        </w:tc>
        <w:tc>
          <w:tcPr>
            <w:tcW w:w="4455" w:type="dxa"/>
          </w:tcPr>
          <w:p>
            <w:pPr>
              <w:pStyle w:val="0"/>
            </w:pPr>
            <w:r>
              <w:rPr>
                <w:sz w:val="20"/>
              </w:rPr>
              <w:t xml:space="preserve">Затраты на покупку энергии</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4</w:t>
            </w:r>
          </w:p>
        </w:tc>
        <w:tc>
          <w:tcPr>
            <w:tcW w:w="4455" w:type="dxa"/>
          </w:tcPr>
          <w:p>
            <w:pPr>
              <w:pStyle w:val="0"/>
            </w:pPr>
            <w:r>
              <w:rPr>
                <w:sz w:val="20"/>
              </w:rPr>
              <w:t xml:space="preserve">Затраты на покупку мощности</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5</w:t>
            </w:r>
          </w:p>
        </w:tc>
        <w:tc>
          <w:tcPr>
            <w:tcW w:w="4455" w:type="dxa"/>
          </w:tcPr>
          <w:p>
            <w:pPr>
              <w:pStyle w:val="0"/>
            </w:pPr>
            <w:r>
              <w:rPr>
                <w:sz w:val="20"/>
              </w:rPr>
              <w:t xml:space="preserve">Затраты на электроэнергию всего</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B</w:t>
            </w:r>
          </w:p>
        </w:tc>
        <w:tc>
          <w:tcPr>
            <w:tcW w:w="4455" w:type="dxa"/>
          </w:tcPr>
          <w:p>
            <w:pPr>
              <w:pStyle w:val="0"/>
            </w:pPr>
            <w:r>
              <w:rPr>
                <w:sz w:val="20"/>
              </w:rPr>
              <w:t xml:space="preserve">Поставщик</w:t>
            </w:r>
          </w:p>
        </w:tc>
        <w:tc>
          <w:tcPr>
            <w:tcW w:w="165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N</w:t>
            </w:r>
          </w:p>
        </w:tc>
        <w:tc>
          <w:tcPr>
            <w:tcW w:w="4455" w:type="dxa"/>
          </w:tcPr>
          <w:p>
            <w:pPr>
              <w:pStyle w:val="0"/>
            </w:pPr>
            <w:r>
              <w:rPr>
                <w:sz w:val="20"/>
              </w:rPr>
              <w:t xml:space="preserve">Поставщик</w:t>
            </w:r>
          </w:p>
        </w:tc>
        <w:tc>
          <w:tcPr>
            <w:tcW w:w="165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1320" w:type="dxa"/>
          </w:tcPr>
          <w:p>
            <w:pPr>
              <w:pStyle w:val="0"/>
              <w:jc w:val="center"/>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2.1.3</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88" w:tooltip="Приказ ФАС России от 29.10.2019 N 1438/19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25.11.2019 N 56621) {КонсультантПлюс}">
              <w:r>
                <w:rPr>
                  <w:sz w:val="20"/>
                  <w:color w:val="0000ff"/>
                </w:rPr>
                <w:t xml:space="preserve">Приказа</w:t>
              </w:r>
            </w:hyperlink>
            <w:r>
              <w:rPr>
                <w:sz w:val="20"/>
                <w:color w:val="392c69"/>
              </w:rPr>
              <w:t xml:space="preserve"> ФАС России от 29.10.2019 N 1438/19)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center"/>
      </w:pPr>
      <w:r>
        <w:rPr>
          <w:sz w:val="20"/>
        </w:rPr>
        <w:t xml:space="preserve">Расходы на приобретение тепловой энергии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2778"/>
        <w:gridCol w:w="1440"/>
        <w:gridCol w:w="900"/>
        <w:gridCol w:w="900"/>
        <w:gridCol w:w="900"/>
        <w:gridCol w:w="900"/>
        <w:gridCol w:w="1440"/>
      </w:tblGrid>
      <w:tr>
        <w:tc>
          <w:tcPr>
            <w:tcW w:w="524" w:type="dxa"/>
            <w:vMerge w:val="restart"/>
          </w:tcPr>
          <w:p>
            <w:pPr>
              <w:pStyle w:val="0"/>
              <w:jc w:val="center"/>
            </w:pPr>
            <w:r>
              <w:rPr>
                <w:sz w:val="20"/>
              </w:rPr>
              <w:t xml:space="preserve">N п/п</w:t>
            </w:r>
          </w:p>
        </w:tc>
        <w:tc>
          <w:tcPr>
            <w:tcW w:w="2778" w:type="dxa"/>
            <w:vMerge w:val="restart"/>
          </w:tcPr>
          <w:p>
            <w:pPr>
              <w:pStyle w:val="0"/>
              <w:jc w:val="center"/>
            </w:pPr>
            <w:r>
              <w:rPr>
                <w:sz w:val="20"/>
              </w:rPr>
              <w:t xml:space="preserve">Наименование</w:t>
            </w:r>
          </w:p>
        </w:tc>
        <w:tc>
          <w:tcPr>
            <w:tcW w:w="1440" w:type="dxa"/>
            <w:vMerge w:val="restart"/>
          </w:tcPr>
          <w:p>
            <w:pPr>
              <w:pStyle w:val="0"/>
              <w:jc w:val="center"/>
            </w:pPr>
            <w:r>
              <w:rPr>
                <w:sz w:val="20"/>
              </w:rPr>
              <w:t xml:space="preserve">Единица измерения</w:t>
            </w:r>
          </w:p>
        </w:tc>
        <w:tc>
          <w:tcPr>
            <w:gridSpan w:val="2"/>
            <w:tcW w:w="1800" w:type="dxa"/>
          </w:tcPr>
          <w:p>
            <w:pPr>
              <w:pStyle w:val="0"/>
              <w:jc w:val="center"/>
            </w:pPr>
            <w:r>
              <w:rPr>
                <w:sz w:val="20"/>
              </w:rPr>
              <w:t xml:space="preserve">Истекший год (i-2)</w:t>
            </w:r>
          </w:p>
        </w:tc>
        <w:tc>
          <w:tcPr>
            <w:gridSpan w:val="2"/>
            <w:tcW w:w="1800" w:type="dxa"/>
          </w:tcPr>
          <w:p>
            <w:pPr>
              <w:pStyle w:val="0"/>
              <w:jc w:val="center"/>
            </w:pPr>
            <w:r>
              <w:rPr>
                <w:sz w:val="20"/>
              </w:rPr>
              <w:t xml:space="preserve">Текущий год (i-1)</w:t>
            </w:r>
          </w:p>
        </w:tc>
        <w:tc>
          <w:tcPr>
            <w:tcW w:w="1440"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900" w:type="dxa"/>
          </w:tcPr>
          <w:p>
            <w:pPr>
              <w:pStyle w:val="0"/>
              <w:jc w:val="center"/>
            </w:pPr>
            <w:r>
              <w:rPr>
                <w:sz w:val="20"/>
              </w:rPr>
              <w:t xml:space="preserve">план</w:t>
            </w:r>
          </w:p>
        </w:tc>
        <w:tc>
          <w:tcPr>
            <w:tcW w:w="900" w:type="dxa"/>
          </w:tcPr>
          <w:p>
            <w:pPr>
              <w:pStyle w:val="0"/>
              <w:jc w:val="center"/>
            </w:pPr>
            <w:r>
              <w:rPr>
                <w:sz w:val="20"/>
              </w:rPr>
              <w:t xml:space="preserve">факт</w:t>
            </w:r>
          </w:p>
        </w:tc>
        <w:tc>
          <w:tcPr>
            <w:tcW w:w="900" w:type="dxa"/>
          </w:tcPr>
          <w:p>
            <w:pPr>
              <w:pStyle w:val="0"/>
              <w:jc w:val="center"/>
            </w:pPr>
            <w:r>
              <w:rPr>
                <w:sz w:val="20"/>
              </w:rPr>
              <w:t xml:space="preserve">план</w:t>
            </w:r>
          </w:p>
        </w:tc>
        <w:tc>
          <w:tcPr>
            <w:tcW w:w="900" w:type="dxa"/>
          </w:tcPr>
          <w:p>
            <w:pPr>
              <w:pStyle w:val="0"/>
              <w:jc w:val="center"/>
            </w:pPr>
            <w:r>
              <w:rPr>
                <w:sz w:val="20"/>
              </w:rPr>
              <w:t xml:space="preserve">ожид</w:t>
            </w:r>
          </w:p>
        </w:tc>
        <w:tc>
          <w:tcPr>
            <w:vMerge w:val="continue"/>
          </w:tcPr>
          <w:p/>
        </w:tc>
      </w:tr>
      <w:tr>
        <w:tc>
          <w:tcPr>
            <w:tcW w:w="524" w:type="dxa"/>
          </w:tcPr>
          <w:p>
            <w:pPr>
              <w:pStyle w:val="0"/>
              <w:jc w:val="center"/>
            </w:pPr>
            <w:r>
              <w:rPr>
                <w:sz w:val="20"/>
              </w:rPr>
              <w:t xml:space="preserve">1</w:t>
            </w:r>
          </w:p>
        </w:tc>
        <w:tc>
          <w:tcPr>
            <w:tcW w:w="2778" w:type="dxa"/>
          </w:tcPr>
          <w:p>
            <w:pPr>
              <w:pStyle w:val="0"/>
              <w:jc w:val="center"/>
            </w:pPr>
            <w:r>
              <w:rPr>
                <w:sz w:val="20"/>
              </w:rPr>
              <w:t xml:space="preserve">2</w:t>
            </w:r>
          </w:p>
        </w:tc>
        <w:tc>
          <w:tcPr>
            <w:tcW w:w="1440" w:type="dxa"/>
          </w:tcPr>
          <w:bookmarkStart w:id="3776" w:name="P3776"/>
          <w:bookmarkEnd w:id="3776"/>
          <w:p>
            <w:pPr>
              <w:pStyle w:val="0"/>
              <w:jc w:val="center"/>
            </w:pPr>
            <w:r>
              <w:rPr>
                <w:sz w:val="20"/>
              </w:rPr>
              <w:t xml:space="preserve">3</w:t>
            </w:r>
          </w:p>
        </w:tc>
        <w:tc>
          <w:tcPr>
            <w:tcW w:w="900" w:type="dxa"/>
          </w:tcPr>
          <w:bookmarkStart w:id="3777" w:name="P3777"/>
          <w:bookmarkEnd w:id="3777"/>
          <w:p>
            <w:pPr>
              <w:pStyle w:val="0"/>
              <w:jc w:val="center"/>
            </w:pPr>
            <w:r>
              <w:rPr>
                <w:sz w:val="20"/>
              </w:rPr>
              <w:t xml:space="preserve">4</w:t>
            </w:r>
          </w:p>
        </w:tc>
        <w:tc>
          <w:tcPr>
            <w:tcW w:w="900" w:type="dxa"/>
          </w:tcPr>
          <w:p>
            <w:pPr>
              <w:pStyle w:val="0"/>
              <w:jc w:val="center"/>
            </w:pPr>
            <w:r>
              <w:rPr>
                <w:sz w:val="20"/>
              </w:rPr>
              <w:t xml:space="preserve">5</w:t>
            </w:r>
          </w:p>
        </w:tc>
        <w:tc>
          <w:tcPr>
            <w:tcW w:w="900" w:type="dxa"/>
          </w:tcPr>
          <w:p>
            <w:pPr>
              <w:pStyle w:val="0"/>
              <w:jc w:val="center"/>
            </w:pPr>
            <w:r>
              <w:rPr>
                <w:sz w:val="20"/>
              </w:rPr>
              <w:t xml:space="preserve">6</w:t>
            </w:r>
          </w:p>
        </w:tc>
        <w:tc>
          <w:tcPr>
            <w:tcW w:w="900" w:type="dxa"/>
          </w:tcPr>
          <w:p>
            <w:pPr>
              <w:pStyle w:val="0"/>
              <w:jc w:val="center"/>
            </w:pPr>
            <w:r>
              <w:rPr>
                <w:sz w:val="20"/>
              </w:rPr>
              <w:t xml:space="preserve">7</w:t>
            </w:r>
          </w:p>
        </w:tc>
        <w:tc>
          <w:tcPr>
            <w:tcW w:w="1440" w:type="dxa"/>
          </w:tcPr>
          <w:p>
            <w:pPr>
              <w:pStyle w:val="0"/>
              <w:jc w:val="center"/>
            </w:pPr>
            <w:r>
              <w:rPr>
                <w:sz w:val="20"/>
              </w:rPr>
              <w:t xml:space="preserve">8</w:t>
            </w:r>
          </w:p>
        </w:tc>
      </w:tr>
      <w:tr>
        <w:tc>
          <w:tcPr>
            <w:tcW w:w="524" w:type="dxa"/>
          </w:tcPr>
          <w:p>
            <w:pPr>
              <w:pStyle w:val="0"/>
              <w:jc w:val="center"/>
            </w:pPr>
            <w:r>
              <w:rPr>
                <w:sz w:val="20"/>
              </w:rPr>
              <w:t xml:space="preserve">A.</w:t>
            </w:r>
          </w:p>
        </w:tc>
        <w:tc>
          <w:tcPr>
            <w:tcW w:w="2778" w:type="dxa"/>
          </w:tcPr>
          <w:p>
            <w:pPr>
              <w:pStyle w:val="0"/>
            </w:pPr>
            <w:r>
              <w:rPr>
                <w:sz w:val="20"/>
              </w:rPr>
              <w:t xml:space="preserve">Поставщик</w:t>
            </w:r>
          </w:p>
        </w:tc>
        <w:tc>
          <w:tcPr>
            <w:tcW w:w="144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440" w:type="dxa"/>
          </w:tcPr>
          <w:p>
            <w:pPr>
              <w:pStyle w:val="0"/>
            </w:pPr>
            <w:r>
              <w:rPr>
                <w:sz w:val="20"/>
              </w:rPr>
            </w:r>
          </w:p>
        </w:tc>
      </w:tr>
      <w:tr>
        <w:tc>
          <w:tcPr>
            <w:tcW w:w="524" w:type="dxa"/>
          </w:tcPr>
          <w:p>
            <w:pPr>
              <w:pStyle w:val="0"/>
              <w:jc w:val="center"/>
            </w:pPr>
            <w:r>
              <w:rPr>
                <w:sz w:val="20"/>
              </w:rPr>
              <w:t xml:space="preserve">1</w:t>
            </w:r>
          </w:p>
        </w:tc>
        <w:tc>
          <w:tcPr>
            <w:tcW w:w="2778" w:type="dxa"/>
          </w:tcPr>
          <w:p>
            <w:pPr>
              <w:pStyle w:val="0"/>
            </w:pPr>
            <w:r>
              <w:rPr>
                <w:sz w:val="20"/>
              </w:rPr>
              <w:t xml:space="preserve">Объем покупной энергии</w:t>
            </w:r>
          </w:p>
        </w:tc>
        <w:tc>
          <w:tcPr>
            <w:tcW w:w="1440" w:type="dxa"/>
          </w:tcPr>
          <w:p>
            <w:pPr>
              <w:pStyle w:val="0"/>
              <w:jc w:val="center"/>
            </w:pPr>
            <w:r>
              <w:rPr>
                <w:sz w:val="20"/>
              </w:rPr>
              <w:t xml:space="preserve">тыс. Гкал</w:t>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440" w:type="dxa"/>
          </w:tcPr>
          <w:p>
            <w:pPr>
              <w:pStyle w:val="0"/>
            </w:pPr>
            <w:r>
              <w:rPr>
                <w:sz w:val="20"/>
              </w:rPr>
            </w:r>
          </w:p>
        </w:tc>
      </w:tr>
      <w:tr>
        <w:tc>
          <w:tcPr>
            <w:tcW w:w="524" w:type="dxa"/>
          </w:tcPr>
          <w:p>
            <w:pPr>
              <w:pStyle w:val="0"/>
              <w:jc w:val="center"/>
            </w:pPr>
            <w:r>
              <w:rPr>
                <w:sz w:val="20"/>
              </w:rPr>
              <w:t xml:space="preserve">2</w:t>
            </w:r>
          </w:p>
        </w:tc>
        <w:tc>
          <w:tcPr>
            <w:tcW w:w="2778" w:type="dxa"/>
          </w:tcPr>
          <w:p>
            <w:pPr>
              <w:pStyle w:val="0"/>
            </w:pPr>
            <w:r>
              <w:rPr>
                <w:sz w:val="20"/>
              </w:rPr>
              <w:t xml:space="preserve">Мощность</w:t>
            </w:r>
          </w:p>
        </w:tc>
        <w:tc>
          <w:tcPr>
            <w:tcW w:w="1440" w:type="dxa"/>
          </w:tcPr>
          <w:p>
            <w:pPr>
              <w:pStyle w:val="0"/>
              <w:jc w:val="center"/>
            </w:pPr>
            <w:r>
              <w:rPr>
                <w:sz w:val="20"/>
              </w:rPr>
              <w:t xml:space="preserve">Гкал/ч</w:t>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440" w:type="dxa"/>
          </w:tcPr>
          <w:p>
            <w:pPr>
              <w:pStyle w:val="0"/>
            </w:pPr>
            <w:r>
              <w:rPr>
                <w:sz w:val="20"/>
              </w:rPr>
            </w:r>
          </w:p>
        </w:tc>
      </w:tr>
      <w:tr>
        <w:tc>
          <w:tcPr>
            <w:tcW w:w="524" w:type="dxa"/>
          </w:tcPr>
          <w:p>
            <w:pPr>
              <w:pStyle w:val="0"/>
              <w:jc w:val="center"/>
            </w:pPr>
            <w:r>
              <w:rPr>
                <w:sz w:val="20"/>
              </w:rPr>
              <w:t xml:space="preserve">3</w:t>
            </w:r>
          </w:p>
        </w:tc>
        <w:tc>
          <w:tcPr>
            <w:tcW w:w="2778" w:type="dxa"/>
          </w:tcPr>
          <w:p>
            <w:pPr>
              <w:pStyle w:val="0"/>
            </w:pPr>
            <w:r>
              <w:rPr>
                <w:sz w:val="20"/>
              </w:rPr>
              <w:t xml:space="preserve">Ставка за энергию</w:t>
            </w:r>
          </w:p>
        </w:tc>
        <w:tc>
          <w:tcPr>
            <w:tcW w:w="1440" w:type="dxa"/>
          </w:tcPr>
          <w:p>
            <w:pPr>
              <w:pStyle w:val="0"/>
              <w:jc w:val="center"/>
            </w:pPr>
            <w:r>
              <w:rPr>
                <w:sz w:val="20"/>
              </w:rPr>
              <w:t xml:space="preserve">руб./Гкал</w:t>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440" w:type="dxa"/>
          </w:tcPr>
          <w:p>
            <w:pPr>
              <w:pStyle w:val="0"/>
            </w:pPr>
            <w:r>
              <w:rPr>
                <w:sz w:val="20"/>
              </w:rPr>
            </w:r>
          </w:p>
        </w:tc>
      </w:tr>
      <w:tr>
        <w:tc>
          <w:tcPr>
            <w:tcW w:w="524" w:type="dxa"/>
          </w:tcPr>
          <w:p>
            <w:pPr>
              <w:pStyle w:val="0"/>
              <w:jc w:val="center"/>
            </w:pPr>
            <w:r>
              <w:rPr>
                <w:sz w:val="20"/>
              </w:rPr>
              <w:t xml:space="preserve">4</w:t>
            </w:r>
          </w:p>
        </w:tc>
        <w:tc>
          <w:tcPr>
            <w:tcW w:w="2778" w:type="dxa"/>
          </w:tcPr>
          <w:p>
            <w:pPr>
              <w:pStyle w:val="0"/>
            </w:pPr>
            <w:r>
              <w:rPr>
                <w:sz w:val="20"/>
              </w:rPr>
              <w:t xml:space="preserve">Ставка за мощность</w:t>
            </w:r>
          </w:p>
        </w:tc>
        <w:tc>
          <w:tcPr>
            <w:tcW w:w="1440" w:type="dxa"/>
          </w:tcPr>
          <w:p>
            <w:pPr>
              <w:pStyle w:val="0"/>
              <w:jc w:val="center"/>
            </w:pPr>
            <w:r>
              <w:rPr>
                <w:sz w:val="20"/>
              </w:rPr>
              <w:t xml:space="preserve">тыс. руб./Гкал/ч</w:t>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440" w:type="dxa"/>
          </w:tcPr>
          <w:p>
            <w:pPr>
              <w:pStyle w:val="0"/>
            </w:pPr>
            <w:r>
              <w:rPr>
                <w:sz w:val="20"/>
              </w:rPr>
            </w:r>
          </w:p>
        </w:tc>
      </w:tr>
      <w:tr>
        <w:tc>
          <w:tcPr>
            <w:tcW w:w="524" w:type="dxa"/>
          </w:tcPr>
          <w:p>
            <w:pPr>
              <w:pStyle w:val="0"/>
              <w:jc w:val="center"/>
            </w:pPr>
            <w:r>
              <w:rPr>
                <w:sz w:val="20"/>
              </w:rPr>
              <w:t xml:space="preserve">5</w:t>
            </w:r>
          </w:p>
        </w:tc>
        <w:tc>
          <w:tcPr>
            <w:tcW w:w="2778" w:type="dxa"/>
          </w:tcPr>
          <w:p>
            <w:pPr>
              <w:pStyle w:val="0"/>
            </w:pPr>
            <w:r>
              <w:rPr>
                <w:sz w:val="20"/>
              </w:rPr>
              <w:t xml:space="preserve">Затраты на покупку энергии</w:t>
            </w:r>
          </w:p>
        </w:tc>
        <w:tc>
          <w:tcPr>
            <w:tcW w:w="1440" w:type="dxa"/>
          </w:tcPr>
          <w:p>
            <w:pPr>
              <w:pStyle w:val="0"/>
              <w:jc w:val="center"/>
            </w:pPr>
            <w:r>
              <w:rPr>
                <w:sz w:val="20"/>
              </w:rPr>
              <w:t xml:space="preserve">тыс. руб.</w:t>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440" w:type="dxa"/>
          </w:tcPr>
          <w:p>
            <w:pPr>
              <w:pStyle w:val="0"/>
            </w:pPr>
            <w:r>
              <w:rPr>
                <w:sz w:val="20"/>
              </w:rPr>
            </w:r>
          </w:p>
        </w:tc>
      </w:tr>
      <w:tr>
        <w:tc>
          <w:tcPr>
            <w:tcW w:w="524" w:type="dxa"/>
          </w:tcPr>
          <w:p>
            <w:pPr>
              <w:pStyle w:val="0"/>
              <w:jc w:val="center"/>
            </w:pPr>
            <w:r>
              <w:rPr>
                <w:sz w:val="20"/>
              </w:rPr>
              <w:t xml:space="preserve">6</w:t>
            </w:r>
          </w:p>
        </w:tc>
        <w:tc>
          <w:tcPr>
            <w:tcW w:w="2778" w:type="dxa"/>
          </w:tcPr>
          <w:p>
            <w:pPr>
              <w:pStyle w:val="0"/>
            </w:pPr>
            <w:r>
              <w:rPr>
                <w:sz w:val="20"/>
              </w:rPr>
              <w:t xml:space="preserve">Затраты на покупку мощности</w:t>
            </w:r>
          </w:p>
        </w:tc>
        <w:tc>
          <w:tcPr>
            <w:tcW w:w="1440" w:type="dxa"/>
          </w:tcPr>
          <w:p>
            <w:pPr>
              <w:pStyle w:val="0"/>
              <w:jc w:val="center"/>
            </w:pPr>
            <w:r>
              <w:rPr>
                <w:sz w:val="20"/>
              </w:rPr>
              <w:t xml:space="preserve">тыс. руб.</w:t>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440" w:type="dxa"/>
          </w:tcPr>
          <w:p>
            <w:pPr>
              <w:pStyle w:val="0"/>
            </w:pPr>
            <w:r>
              <w:rPr>
                <w:sz w:val="20"/>
              </w:rPr>
            </w:r>
          </w:p>
        </w:tc>
      </w:tr>
      <w:tr>
        <w:tc>
          <w:tcPr>
            <w:tcW w:w="524" w:type="dxa"/>
          </w:tcPr>
          <w:p>
            <w:pPr>
              <w:pStyle w:val="0"/>
              <w:jc w:val="center"/>
            </w:pPr>
            <w:r>
              <w:rPr>
                <w:sz w:val="20"/>
              </w:rPr>
              <w:t xml:space="preserve">7</w:t>
            </w:r>
          </w:p>
        </w:tc>
        <w:tc>
          <w:tcPr>
            <w:tcW w:w="2778" w:type="dxa"/>
          </w:tcPr>
          <w:p>
            <w:pPr>
              <w:pStyle w:val="0"/>
            </w:pPr>
            <w:r>
              <w:rPr>
                <w:sz w:val="20"/>
              </w:rPr>
              <w:t xml:space="preserve">Затраты на теплоэнергию, всего</w:t>
            </w:r>
          </w:p>
        </w:tc>
        <w:tc>
          <w:tcPr>
            <w:tcW w:w="1440" w:type="dxa"/>
          </w:tcPr>
          <w:p>
            <w:pPr>
              <w:pStyle w:val="0"/>
              <w:jc w:val="center"/>
            </w:pPr>
            <w:r>
              <w:rPr>
                <w:sz w:val="20"/>
              </w:rPr>
              <w:t xml:space="preserve">тыс. руб.</w:t>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440" w:type="dxa"/>
          </w:tcPr>
          <w:p>
            <w:pPr>
              <w:pStyle w:val="0"/>
            </w:pPr>
            <w:r>
              <w:rPr>
                <w:sz w:val="20"/>
              </w:rPr>
            </w:r>
          </w:p>
        </w:tc>
      </w:tr>
      <w:tr>
        <w:tc>
          <w:tcPr>
            <w:tcW w:w="524" w:type="dxa"/>
          </w:tcPr>
          <w:p>
            <w:pPr>
              <w:pStyle w:val="0"/>
              <w:jc w:val="center"/>
            </w:pPr>
            <w:r>
              <w:rPr>
                <w:sz w:val="20"/>
              </w:rPr>
              <w:t xml:space="preserve">B</w:t>
            </w:r>
          </w:p>
        </w:tc>
        <w:tc>
          <w:tcPr>
            <w:tcW w:w="2778" w:type="dxa"/>
          </w:tcPr>
          <w:p>
            <w:pPr>
              <w:pStyle w:val="0"/>
            </w:pPr>
            <w:r>
              <w:rPr>
                <w:sz w:val="20"/>
              </w:rPr>
              <w:t xml:space="preserve">Поставщик</w:t>
            </w:r>
          </w:p>
        </w:tc>
        <w:tc>
          <w:tcPr>
            <w:tcW w:w="144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440" w:type="dxa"/>
          </w:tcPr>
          <w:p>
            <w:pPr>
              <w:pStyle w:val="0"/>
            </w:pPr>
            <w:r>
              <w:rPr>
                <w:sz w:val="20"/>
              </w:rPr>
            </w:r>
          </w:p>
        </w:tc>
      </w:tr>
      <w:tr>
        <w:tc>
          <w:tcPr>
            <w:tcW w:w="524" w:type="dxa"/>
          </w:tcPr>
          <w:p>
            <w:pPr>
              <w:pStyle w:val="0"/>
              <w:jc w:val="center"/>
            </w:pPr>
            <w:r>
              <w:rPr>
                <w:sz w:val="20"/>
              </w:rPr>
              <w:t xml:space="preserve">N</w:t>
            </w:r>
          </w:p>
        </w:tc>
        <w:tc>
          <w:tcPr>
            <w:tcW w:w="2778" w:type="dxa"/>
          </w:tcPr>
          <w:p>
            <w:pPr>
              <w:pStyle w:val="0"/>
            </w:pPr>
            <w:r>
              <w:rPr>
                <w:sz w:val="20"/>
              </w:rPr>
              <w:t xml:space="preserve">Поставщик</w:t>
            </w:r>
          </w:p>
        </w:tc>
        <w:tc>
          <w:tcPr>
            <w:tcW w:w="144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440" w:type="dxa"/>
          </w:tcPr>
          <w:p>
            <w:pPr>
              <w:pStyle w:val="0"/>
            </w:pPr>
            <w:r>
              <w:rPr>
                <w:sz w:val="20"/>
              </w:rPr>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В </w:t>
      </w:r>
      <w:hyperlink w:history="0" w:anchor="P3776" w:tooltip="3">
        <w:r>
          <w:rPr>
            <w:sz w:val="20"/>
            <w:color w:val="0000ff"/>
          </w:rPr>
          <w:t xml:space="preserve">графах 3</w:t>
        </w:r>
      </w:hyperlink>
      <w:r>
        <w:rPr>
          <w:sz w:val="20"/>
        </w:rPr>
        <w:t xml:space="preserve"> и </w:t>
      </w:r>
      <w:hyperlink w:history="0" w:anchor="P3777" w:tooltip="4">
        <w:r>
          <w:rPr>
            <w:sz w:val="20"/>
            <w:color w:val="0000ff"/>
          </w:rPr>
          <w:t xml:space="preserve">4</w:t>
        </w:r>
      </w:hyperlink>
      <w:r>
        <w:rPr>
          <w:sz w:val="20"/>
        </w:rPr>
        <w:t xml:space="preserve"> таблицы ставки за энергию и мощность после окончания переходного периода в ценовых зонах теплоснабжения определяются как цены на тепловую энергию (мощность), определенные сторонами договора теплоснабжения, но не выше предельного уровня цены на тепловую энергию (мощность), утвержденного органом регулирования тарифов, за исключением случаев, указанных в </w:t>
      </w:r>
      <w:hyperlink w:history="0" r:id="rId489"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частях 2.1</w:t>
        </w:r>
      </w:hyperlink>
      <w:r>
        <w:rPr>
          <w:sz w:val="20"/>
        </w:rPr>
        <w:t xml:space="preserve"> - </w:t>
      </w:r>
      <w:hyperlink w:history="0" r:id="rId490" w:tooltip="Федеральный закон от 27.07.2010 N 190-ФЗ (ред. от 08.08.2024) &quot;О теплоснабжении&quot; (с изм. и доп., вступ. в силу с 01.03.2025) {КонсультантПлюс}">
        <w:r>
          <w:rPr>
            <w:sz w:val="20"/>
            <w:color w:val="0000ff"/>
          </w:rPr>
          <w:t xml:space="preserve">2.3 статьи 8</w:t>
        </w:r>
      </w:hyperlink>
      <w:r>
        <w:rPr>
          <w:sz w:val="20"/>
        </w:rPr>
        <w:t xml:space="preserve"> и </w:t>
      </w:r>
      <w:hyperlink w:history="0" r:id="rId491" w:tooltip="Федеральный закон от 27.07.2010 N 190-ФЗ (ред. от 08.08.2024) &quot;О теплоснабжении&quot; (с изм. и доп., вступ. в силу с 01.03.2025) {КонсультантПлюс}">
        <w:r>
          <w:rPr>
            <w:sz w:val="20"/>
            <w:color w:val="0000ff"/>
          </w:rPr>
          <w:t xml:space="preserve">12.1</w:t>
        </w:r>
      </w:hyperlink>
      <w:r>
        <w:rPr>
          <w:sz w:val="20"/>
        </w:rPr>
        <w:t xml:space="preserve"> - </w:t>
      </w:r>
      <w:hyperlink w:history="0" r:id="rId492" w:tooltip="Федеральный закон от 27.07.2010 N 190-ФЗ (ред. от 08.08.2024) &quot;О теплоснабжении&quot; (с изм. и доп., вступ. в силу с 01.03.2025) {КонсультантПлюс}">
        <w:r>
          <w:rPr>
            <w:sz w:val="20"/>
            <w:color w:val="0000ff"/>
          </w:rPr>
          <w:t xml:space="preserve">12.4 статьи 10</w:t>
        </w:r>
      </w:hyperlink>
      <w:r>
        <w:rPr>
          <w:sz w:val="20"/>
        </w:rPr>
        <w:t xml:space="preserve"> Федерального закона N 190-ФЗ.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2.1.4</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p>
      <w:pPr>
        <w:pStyle w:val="0"/>
        <w:jc w:val="center"/>
      </w:pPr>
      <w:r>
        <w:rPr>
          <w:sz w:val="20"/>
        </w:rPr>
        <w:t xml:space="preserve">Расходы на приобретение теплоносителя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2772"/>
        <w:gridCol w:w="1428"/>
        <w:gridCol w:w="910"/>
        <w:gridCol w:w="909"/>
        <w:gridCol w:w="882"/>
        <w:gridCol w:w="910"/>
        <w:gridCol w:w="1442"/>
      </w:tblGrid>
      <w:tr>
        <w:tc>
          <w:tcPr>
            <w:tcW w:w="524" w:type="dxa"/>
            <w:vMerge w:val="restart"/>
          </w:tcPr>
          <w:p>
            <w:pPr>
              <w:pStyle w:val="0"/>
              <w:jc w:val="center"/>
            </w:pPr>
            <w:r>
              <w:rPr>
                <w:sz w:val="20"/>
              </w:rPr>
              <w:t xml:space="preserve">N п/п</w:t>
            </w:r>
          </w:p>
        </w:tc>
        <w:tc>
          <w:tcPr>
            <w:tcW w:w="2772" w:type="dxa"/>
            <w:vMerge w:val="restart"/>
          </w:tcPr>
          <w:p>
            <w:pPr>
              <w:pStyle w:val="0"/>
              <w:jc w:val="center"/>
            </w:pPr>
            <w:r>
              <w:rPr>
                <w:sz w:val="20"/>
              </w:rPr>
              <w:t xml:space="preserve">Наименование</w:t>
            </w:r>
          </w:p>
        </w:tc>
        <w:tc>
          <w:tcPr>
            <w:tcW w:w="1428" w:type="dxa"/>
            <w:vMerge w:val="restart"/>
          </w:tcPr>
          <w:p>
            <w:pPr>
              <w:pStyle w:val="0"/>
              <w:jc w:val="center"/>
            </w:pPr>
            <w:r>
              <w:rPr>
                <w:sz w:val="20"/>
              </w:rPr>
              <w:t xml:space="preserve">Единица измерения</w:t>
            </w:r>
          </w:p>
        </w:tc>
        <w:tc>
          <w:tcPr>
            <w:gridSpan w:val="2"/>
            <w:tcW w:w="1819" w:type="dxa"/>
          </w:tcPr>
          <w:p>
            <w:pPr>
              <w:pStyle w:val="0"/>
              <w:jc w:val="center"/>
            </w:pPr>
            <w:r>
              <w:rPr>
                <w:sz w:val="20"/>
              </w:rPr>
              <w:t xml:space="preserve">Истекший год (i-2)</w:t>
            </w:r>
          </w:p>
        </w:tc>
        <w:tc>
          <w:tcPr>
            <w:gridSpan w:val="2"/>
            <w:tcW w:w="1792" w:type="dxa"/>
          </w:tcPr>
          <w:p>
            <w:pPr>
              <w:pStyle w:val="0"/>
              <w:jc w:val="center"/>
            </w:pPr>
            <w:r>
              <w:rPr>
                <w:sz w:val="20"/>
              </w:rPr>
              <w:t xml:space="preserve">Текущий год (i-1)</w:t>
            </w:r>
          </w:p>
        </w:tc>
        <w:tc>
          <w:tcPr>
            <w:tcW w:w="1442"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910" w:type="dxa"/>
          </w:tcPr>
          <w:p>
            <w:pPr>
              <w:pStyle w:val="0"/>
              <w:jc w:val="center"/>
            </w:pPr>
            <w:r>
              <w:rPr>
                <w:sz w:val="20"/>
              </w:rPr>
              <w:t xml:space="preserve">план</w:t>
            </w:r>
          </w:p>
        </w:tc>
        <w:tc>
          <w:tcPr>
            <w:tcW w:w="909" w:type="dxa"/>
          </w:tcPr>
          <w:p>
            <w:pPr>
              <w:pStyle w:val="0"/>
              <w:jc w:val="center"/>
            </w:pPr>
            <w:r>
              <w:rPr>
                <w:sz w:val="20"/>
              </w:rPr>
              <w:t xml:space="preserve">факт</w:t>
            </w:r>
          </w:p>
        </w:tc>
        <w:tc>
          <w:tcPr>
            <w:tcW w:w="882" w:type="dxa"/>
          </w:tcPr>
          <w:p>
            <w:pPr>
              <w:pStyle w:val="0"/>
              <w:jc w:val="center"/>
            </w:pPr>
            <w:r>
              <w:rPr>
                <w:sz w:val="20"/>
              </w:rPr>
              <w:t xml:space="preserve">план</w:t>
            </w:r>
          </w:p>
        </w:tc>
        <w:tc>
          <w:tcPr>
            <w:tcW w:w="910" w:type="dxa"/>
          </w:tcPr>
          <w:p>
            <w:pPr>
              <w:pStyle w:val="0"/>
              <w:jc w:val="center"/>
            </w:pPr>
            <w:r>
              <w:rPr>
                <w:sz w:val="20"/>
              </w:rPr>
              <w:t xml:space="preserve">ожид</w:t>
            </w:r>
          </w:p>
        </w:tc>
        <w:tc>
          <w:tcPr>
            <w:vMerge w:val="continue"/>
          </w:tcPr>
          <w:p/>
        </w:tc>
      </w:tr>
      <w:tr>
        <w:tc>
          <w:tcPr>
            <w:tcW w:w="524" w:type="dxa"/>
          </w:tcPr>
          <w:p>
            <w:pPr>
              <w:pStyle w:val="0"/>
              <w:jc w:val="center"/>
            </w:pPr>
            <w:r>
              <w:rPr>
                <w:sz w:val="20"/>
              </w:rPr>
              <w:t xml:space="preserve">1</w:t>
            </w:r>
          </w:p>
        </w:tc>
        <w:tc>
          <w:tcPr>
            <w:tcW w:w="2772" w:type="dxa"/>
          </w:tcPr>
          <w:p>
            <w:pPr>
              <w:pStyle w:val="0"/>
              <w:jc w:val="center"/>
            </w:pPr>
            <w:r>
              <w:rPr>
                <w:sz w:val="20"/>
              </w:rPr>
              <w:t xml:space="preserve">2</w:t>
            </w:r>
          </w:p>
        </w:tc>
        <w:tc>
          <w:tcPr>
            <w:tcW w:w="1428" w:type="dxa"/>
          </w:tcPr>
          <w:p>
            <w:pPr>
              <w:pStyle w:val="0"/>
              <w:jc w:val="center"/>
            </w:pPr>
            <w:r>
              <w:rPr>
                <w:sz w:val="20"/>
              </w:rPr>
              <w:t xml:space="preserve">3</w:t>
            </w:r>
          </w:p>
        </w:tc>
        <w:tc>
          <w:tcPr>
            <w:tcW w:w="910" w:type="dxa"/>
          </w:tcPr>
          <w:p>
            <w:pPr>
              <w:pStyle w:val="0"/>
              <w:jc w:val="center"/>
            </w:pPr>
            <w:r>
              <w:rPr>
                <w:sz w:val="20"/>
              </w:rPr>
              <w:t xml:space="preserve">4</w:t>
            </w:r>
          </w:p>
        </w:tc>
        <w:tc>
          <w:tcPr>
            <w:tcW w:w="909" w:type="dxa"/>
          </w:tcPr>
          <w:p>
            <w:pPr>
              <w:pStyle w:val="0"/>
              <w:jc w:val="center"/>
            </w:pPr>
            <w:r>
              <w:rPr>
                <w:sz w:val="20"/>
              </w:rPr>
              <w:t xml:space="preserve">5</w:t>
            </w:r>
          </w:p>
        </w:tc>
        <w:tc>
          <w:tcPr>
            <w:tcW w:w="882" w:type="dxa"/>
          </w:tcPr>
          <w:p>
            <w:pPr>
              <w:pStyle w:val="0"/>
              <w:jc w:val="center"/>
            </w:pPr>
            <w:r>
              <w:rPr>
                <w:sz w:val="20"/>
              </w:rPr>
              <w:t xml:space="preserve">6</w:t>
            </w:r>
          </w:p>
        </w:tc>
        <w:tc>
          <w:tcPr>
            <w:tcW w:w="910" w:type="dxa"/>
          </w:tcPr>
          <w:p>
            <w:pPr>
              <w:pStyle w:val="0"/>
              <w:jc w:val="center"/>
            </w:pPr>
            <w:r>
              <w:rPr>
                <w:sz w:val="20"/>
              </w:rPr>
              <w:t xml:space="preserve">7</w:t>
            </w:r>
          </w:p>
        </w:tc>
        <w:tc>
          <w:tcPr>
            <w:tcW w:w="1442" w:type="dxa"/>
          </w:tcPr>
          <w:p>
            <w:pPr>
              <w:pStyle w:val="0"/>
              <w:jc w:val="center"/>
            </w:pPr>
            <w:r>
              <w:rPr>
                <w:sz w:val="20"/>
              </w:rPr>
              <w:t xml:space="preserve">8</w:t>
            </w:r>
          </w:p>
        </w:tc>
      </w:tr>
      <w:tr>
        <w:tc>
          <w:tcPr>
            <w:tcW w:w="524" w:type="dxa"/>
          </w:tcPr>
          <w:p>
            <w:pPr>
              <w:pStyle w:val="0"/>
              <w:jc w:val="center"/>
            </w:pPr>
            <w:r>
              <w:rPr>
                <w:sz w:val="20"/>
              </w:rPr>
              <w:t xml:space="preserve">A.</w:t>
            </w:r>
          </w:p>
        </w:tc>
        <w:tc>
          <w:tcPr>
            <w:tcW w:w="2772" w:type="dxa"/>
          </w:tcPr>
          <w:p>
            <w:pPr>
              <w:pStyle w:val="0"/>
            </w:pPr>
            <w:r>
              <w:rPr>
                <w:sz w:val="20"/>
              </w:rPr>
              <w:t xml:space="preserve">Поставщик</w:t>
            </w:r>
          </w:p>
        </w:tc>
        <w:tc>
          <w:tcPr>
            <w:tcW w:w="1428" w:type="dxa"/>
          </w:tcPr>
          <w:p>
            <w:pPr>
              <w:pStyle w:val="0"/>
            </w:pPr>
            <w:r>
              <w:rPr>
                <w:sz w:val="20"/>
              </w:rPr>
            </w:r>
          </w:p>
        </w:tc>
        <w:tc>
          <w:tcPr>
            <w:tcW w:w="910" w:type="dxa"/>
          </w:tcPr>
          <w:p>
            <w:pPr>
              <w:pStyle w:val="0"/>
            </w:pPr>
            <w:r>
              <w:rPr>
                <w:sz w:val="20"/>
              </w:rPr>
            </w:r>
          </w:p>
        </w:tc>
        <w:tc>
          <w:tcPr>
            <w:tcW w:w="909" w:type="dxa"/>
          </w:tcPr>
          <w:p>
            <w:pPr>
              <w:pStyle w:val="0"/>
            </w:pPr>
            <w:r>
              <w:rPr>
                <w:sz w:val="20"/>
              </w:rPr>
            </w:r>
          </w:p>
        </w:tc>
        <w:tc>
          <w:tcPr>
            <w:tcW w:w="882" w:type="dxa"/>
          </w:tcPr>
          <w:p>
            <w:pPr>
              <w:pStyle w:val="0"/>
            </w:pPr>
            <w:r>
              <w:rPr>
                <w:sz w:val="20"/>
              </w:rPr>
            </w:r>
          </w:p>
        </w:tc>
        <w:tc>
          <w:tcPr>
            <w:tcW w:w="910" w:type="dxa"/>
          </w:tcPr>
          <w:p>
            <w:pPr>
              <w:pStyle w:val="0"/>
            </w:pPr>
            <w:r>
              <w:rPr>
                <w:sz w:val="20"/>
              </w:rPr>
            </w:r>
          </w:p>
        </w:tc>
        <w:tc>
          <w:tcPr>
            <w:tcW w:w="1442" w:type="dxa"/>
          </w:tcPr>
          <w:p>
            <w:pPr>
              <w:pStyle w:val="0"/>
            </w:pPr>
            <w:r>
              <w:rPr>
                <w:sz w:val="20"/>
              </w:rPr>
            </w:r>
          </w:p>
        </w:tc>
      </w:tr>
      <w:tr>
        <w:tc>
          <w:tcPr>
            <w:tcW w:w="524" w:type="dxa"/>
          </w:tcPr>
          <w:p>
            <w:pPr>
              <w:pStyle w:val="0"/>
              <w:jc w:val="center"/>
            </w:pPr>
            <w:r>
              <w:rPr>
                <w:sz w:val="20"/>
              </w:rPr>
              <w:t xml:space="preserve">1</w:t>
            </w:r>
          </w:p>
        </w:tc>
        <w:tc>
          <w:tcPr>
            <w:tcW w:w="2772" w:type="dxa"/>
          </w:tcPr>
          <w:p>
            <w:pPr>
              <w:pStyle w:val="0"/>
            </w:pPr>
            <w:r>
              <w:rPr>
                <w:sz w:val="20"/>
              </w:rPr>
              <w:t xml:space="preserve">Объем теплоносителя</w:t>
            </w:r>
          </w:p>
        </w:tc>
        <w:tc>
          <w:tcPr>
            <w:tcW w:w="1428" w:type="dxa"/>
          </w:tcPr>
          <w:p>
            <w:pPr>
              <w:pStyle w:val="0"/>
              <w:jc w:val="center"/>
            </w:pPr>
            <w:r>
              <w:rPr>
                <w:sz w:val="20"/>
              </w:rPr>
              <w:t xml:space="preserve">тыс. куб. м</w:t>
            </w:r>
          </w:p>
        </w:tc>
        <w:tc>
          <w:tcPr>
            <w:tcW w:w="910" w:type="dxa"/>
          </w:tcPr>
          <w:p>
            <w:pPr>
              <w:pStyle w:val="0"/>
            </w:pPr>
            <w:r>
              <w:rPr>
                <w:sz w:val="20"/>
              </w:rPr>
            </w:r>
          </w:p>
        </w:tc>
        <w:tc>
          <w:tcPr>
            <w:tcW w:w="909" w:type="dxa"/>
          </w:tcPr>
          <w:p>
            <w:pPr>
              <w:pStyle w:val="0"/>
            </w:pPr>
            <w:r>
              <w:rPr>
                <w:sz w:val="20"/>
              </w:rPr>
            </w:r>
          </w:p>
        </w:tc>
        <w:tc>
          <w:tcPr>
            <w:tcW w:w="882" w:type="dxa"/>
          </w:tcPr>
          <w:p>
            <w:pPr>
              <w:pStyle w:val="0"/>
            </w:pPr>
            <w:r>
              <w:rPr>
                <w:sz w:val="20"/>
              </w:rPr>
            </w:r>
          </w:p>
        </w:tc>
        <w:tc>
          <w:tcPr>
            <w:tcW w:w="910" w:type="dxa"/>
          </w:tcPr>
          <w:p>
            <w:pPr>
              <w:pStyle w:val="0"/>
            </w:pPr>
            <w:r>
              <w:rPr>
                <w:sz w:val="20"/>
              </w:rPr>
            </w:r>
          </w:p>
        </w:tc>
        <w:tc>
          <w:tcPr>
            <w:tcW w:w="1442" w:type="dxa"/>
          </w:tcPr>
          <w:p>
            <w:pPr>
              <w:pStyle w:val="0"/>
            </w:pPr>
            <w:r>
              <w:rPr>
                <w:sz w:val="20"/>
              </w:rPr>
            </w:r>
          </w:p>
        </w:tc>
      </w:tr>
      <w:tr>
        <w:tc>
          <w:tcPr>
            <w:tcW w:w="524" w:type="dxa"/>
          </w:tcPr>
          <w:p>
            <w:pPr>
              <w:pStyle w:val="0"/>
              <w:jc w:val="center"/>
            </w:pPr>
            <w:r>
              <w:rPr>
                <w:sz w:val="20"/>
              </w:rPr>
              <w:t xml:space="preserve">2</w:t>
            </w:r>
          </w:p>
        </w:tc>
        <w:tc>
          <w:tcPr>
            <w:tcW w:w="2772" w:type="dxa"/>
          </w:tcPr>
          <w:p>
            <w:pPr>
              <w:pStyle w:val="0"/>
            </w:pPr>
            <w:r>
              <w:rPr>
                <w:sz w:val="20"/>
              </w:rPr>
              <w:t xml:space="preserve">Цена теплоносителя</w:t>
            </w:r>
          </w:p>
        </w:tc>
        <w:tc>
          <w:tcPr>
            <w:tcW w:w="1428" w:type="dxa"/>
          </w:tcPr>
          <w:p>
            <w:pPr>
              <w:pStyle w:val="0"/>
              <w:jc w:val="center"/>
            </w:pPr>
            <w:r>
              <w:rPr>
                <w:sz w:val="20"/>
              </w:rPr>
              <w:t xml:space="preserve">руб./куб. м</w:t>
            </w:r>
          </w:p>
        </w:tc>
        <w:tc>
          <w:tcPr>
            <w:tcW w:w="910" w:type="dxa"/>
          </w:tcPr>
          <w:p>
            <w:pPr>
              <w:pStyle w:val="0"/>
            </w:pPr>
            <w:r>
              <w:rPr>
                <w:sz w:val="20"/>
              </w:rPr>
            </w:r>
          </w:p>
        </w:tc>
        <w:tc>
          <w:tcPr>
            <w:tcW w:w="909" w:type="dxa"/>
          </w:tcPr>
          <w:p>
            <w:pPr>
              <w:pStyle w:val="0"/>
            </w:pPr>
            <w:r>
              <w:rPr>
                <w:sz w:val="20"/>
              </w:rPr>
            </w:r>
          </w:p>
        </w:tc>
        <w:tc>
          <w:tcPr>
            <w:tcW w:w="882" w:type="dxa"/>
          </w:tcPr>
          <w:p>
            <w:pPr>
              <w:pStyle w:val="0"/>
            </w:pPr>
            <w:r>
              <w:rPr>
                <w:sz w:val="20"/>
              </w:rPr>
            </w:r>
          </w:p>
        </w:tc>
        <w:tc>
          <w:tcPr>
            <w:tcW w:w="910" w:type="dxa"/>
          </w:tcPr>
          <w:p>
            <w:pPr>
              <w:pStyle w:val="0"/>
            </w:pPr>
            <w:r>
              <w:rPr>
                <w:sz w:val="20"/>
              </w:rPr>
            </w:r>
          </w:p>
        </w:tc>
        <w:tc>
          <w:tcPr>
            <w:tcW w:w="1442" w:type="dxa"/>
          </w:tcPr>
          <w:p>
            <w:pPr>
              <w:pStyle w:val="0"/>
            </w:pPr>
            <w:r>
              <w:rPr>
                <w:sz w:val="20"/>
              </w:rPr>
            </w:r>
          </w:p>
        </w:tc>
      </w:tr>
      <w:tr>
        <w:tc>
          <w:tcPr>
            <w:tcW w:w="524" w:type="dxa"/>
          </w:tcPr>
          <w:p>
            <w:pPr>
              <w:pStyle w:val="0"/>
              <w:jc w:val="center"/>
            </w:pPr>
            <w:r>
              <w:rPr>
                <w:sz w:val="20"/>
              </w:rPr>
              <w:t xml:space="preserve">3</w:t>
            </w:r>
          </w:p>
        </w:tc>
        <w:tc>
          <w:tcPr>
            <w:tcW w:w="2772" w:type="dxa"/>
          </w:tcPr>
          <w:p>
            <w:pPr>
              <w:pStyle w:val="0"/>
            </w:pPr>
            <w:r>
              <w:rPr>
                <w:sz w:val="20"/>
              </w:rPr>
              <w:t xml:space="preserve">Затраты на теплоноситель</w:t>
            </w:r>
          </w:p>
        </w:tc>
        <w:tc>
          <w:tcPr>
            <w:tcW w:w="1428" w:type="dxa"/>
          </w:tcPr>
          <w:p>
            <w:pPr>
              <w:pStyle w:val="0"/>
              <w:jc w:val="center"/>
            </w:pPr>
            <w:r>
              <w:rPr>
                <w:sz w:val="20"/>
              </w:rPr>
              <w:t xml:space="preserve">тыс. руб.</w:t>
            </w:r>
          </w:p>
        </w:tc>
        <w:tc>
          <w:tcPr>
            <w:tcW w:w="910" w:type="dxa"/>
          </w:tcPr>
          <w:p>
            <w:pPr>
              <w:pStyle w:val="0"/>
            </w:pPr>
            <w:r>
              <w:rPr>
                <w:sz w:val="20"/>
              </w:rPr>
            </w:r>
          </w:p>
        </w:tc>
        <w:tc>
          <w:tcPr>
            <w:tcW w:w="909" w:type="dxa"/>
          </w:tcPr>
          <w:p>
            <w:pPr>
              <w:pStyle w:val="0"/>
            </w:pPr>
            <w:r>
              <w:rPr>
                <w:sz w:val="20"/>
              </w:rPr>
            </w:r>
          </w:p>
        </w:tc>
        <w:tc>
          <w:tcPr>
            <w:tcW w:w="882" w:type="dxa"/>
          </w:tcPr>
          <w:p>
            <w:pPr>
              <w:pStyle w:val="0"/>
            </w:pPr>
            <w:r>
              <w:rPr>
                <w:sz w:val="20"/>
              </w:rPr>
            </w:r>
          </w:p>
        </w:tc>
        <w:tc>
          <w:tcPr>
            <w:tcW w:w="910" w:type="dxa"/>
          </w:tcPr>
          <w:p>
            <w:pPr>
              <w:pStyle w:val="0"/>
            </w:pPr>
            <w:r>
              <w:rPr>
                <w:sz w:val="20"/>
              </w:rPr>
            </w:r>
          </w:p>
        </w:tc>
        <w:tc>
          <w:tcPr>
            <w:tcW w:w="1442" w:type="dxa"/>
          </w:tcPr>
          <w:p>
            <w:pPr>
              <w:pStyle w:val="0"/>
            </w:pPr>
            <w:r>
              <w:rPr>
                <w:sz w:val="20"/>
              </w:rPr>
            </w:r>
          </w:p>
        </w:tc>
      </w:tr>
      <w:tr>
        <w:tc>
          <w:tcPr>
            <w:tcW w:w="524" w:type="dxa"/>
          </w:tcPr>
          <w:p>
            <w:pPr>
              <w:pStyle w:val="0"/>
              <w:jc w:val="center"/>
            </w:pPr>
            <w:r>
              <w:rPr>
                <w:sz w:val="20"/>
              </w:rPr>
              <w:t xml:space="preserve">N</w:t>
            </w:r>
          </w:p>
        </w:tc>
        <w:tc>
          <w:tcPr>
            <w:tcW w:w="2772" w:type="dxa"/>
          </w:tcPr>
          <w:p>
            <w:pPr>
              <w:pStyle w:val="0"/>
            </w:pPr>
            <w:r>
              <w:rPr>
                <w:sz w:val="20"/>
              </w:rPr>
              <w:t xml:space="preserve">Поставщик</w:t>
            </w:r>
          </w:p>
        </w:tc>
        <w:tc>
          <w:tcPr>
            <w:tcW w:w="1428" w:type="dxa"/>
          </w:tcPr>
          <w:p>
            <w:pPr>
              <w:pStyle w:val="0"/>
            </w:pPr>
            <w:r>
              <w:rPr>
                <w:sz w:val="20"/>
              </w:rPr>
            </w:r>
          </w:p>
        </w:tc>
        <w:tc>
          <w:tcPr>
            <w:tcW w:w="910" w:type="dxa"/>
          </w:tcPr>
          <w:p>
            <w:pPr>
              <w:pStyle w:val="0"/>
            </w:pPr>
            <w:r>
              <w:rPr>
                <w:sz w:val="20"/>
              </w:rPr>
            </w:r>
          </w:p>
        </w:tc>
        <w:tc>
          <w:tcPr>
            <w:tcW w:w="909" w:type="dxa"/>
          </w:tcPr>
          <w:p>
            <w:pPr>
              <w:pStyle w:val="0"/>
            </w:pPr>
            <w:r>
              <w:rPr>
                <w:sz w:val="20"/>
              </w:rPr>
            </w:r>
          </w:p>
        </w:tc>
        <w:tc>
          <w:tcPr>
            <w:tcW w:w="882" w:type="dxa"/>
          </w:tcPr>
          <w:p>
            <w:pPr>
              <w:pStyle w:val="0"/>
            </w:pPr>
            <w:r>
              <w:rPr>
                <w:sz w:val="20"/>
              </w:rPr>
            </w:r>
          </w:p>
        </w:tc>
        <w:tc>
          <w:tcPr>
            <w:tcW w:w="910" w:type="dxa"/>
          </w:tcPr>
          <w:p>
            <w:pPr>
              <w:pStyle w:val="0"/>
            </w:pPr>
            <w:r>
              <w:rPr>
                <w:sz w:val="20"/>
              </w:rPr>
            </w:r>
          </w:p>
        </w:tc>
        <w:tc>
          <w:tcPr>
            <w:tcW w:w="1442"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2.1.5</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p>
      <w:pPr>
        <w:pStyle w:val="0"/>
        <w:jc w:val="center"/>
      </w:pPr>
      <w:r>
        <w:rPr>
          <w:sz w:val="20"/>
        </w:rPr>
        <w:t xml:space="preserve">Расходы на приобретение топлива</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4290"/>
        <w:gridCol w:w="1650"/>
        <w:gridCol w:w="990"/>
        <w:gridCol w:w="825"/>
        <w:gridCol w:w="990"/>
        <w:gridCol w:w="990"/>
        <w:gridCol w:w="1650"/>
      </w:tblGrid>
      <w:tr>
        <w:tc>
          <w:tcPr>
            <w:tcW w:w="825" w:type="dxa"/>
            <w:vMerge w:val="restart"/>
          </w:tcPr>
          <w:p>
            <w:pPr>
              <w:pStyle w:val="0"/>
              <w:jc w:val="center"/>
            </w:pPr>
            <w:r>
              <w:rPr>
                <w:sz w:val="20"/>
              </w:rPr>
              <w:t xml:space="preserve">N п/п</w:t>
            </w:r>
          </w:p>
        </w:tc>
        <w:tc>
          <w:tcPr>
            <w:tcW w:w="4290" w:type="dxa"/>
            <w:vMerge w:val="restart"/>
          </w:tcPr>
          <w:p>
            <w:pPr>
              <w:pStyle w:val="0"/>
              <w:jc w:val="center"/>
            </w:pPr>
            <w:r>
              <w:rPr>
                <w:sz w:val="20"/>
              </w:rPr>
              <w:t xml:space="preserve">Наименование</w:t>
            </w:r>
          </w:p>
        </w:tc>
        <w:tc>
          <w:tcPr>
            <w:tcW w:w="1650" w:type="dxa"/>
            <w:vMerge w:val="restart"/>
          </w:tcPr>
          <w:p>
            <w:pPr>
              <w:pStyle w:val="0"/>
              <w:jc w:val="center"/>
            </w:pPr>
            <w:r>
              <w:rPr>
                <w:sz w:val="20"/>
              </w:rPr>
              <w:t xml:space="preserve">Единица измерения</w:t>
            </w:r>
          </w:p>
        </w:tc>
        <w:tc>
          <w:tcPr>
            <w:gridSpan w:val="2"/>
            <w:tcW w:w="1815" w:type="dxa"/>
          </w:tcPr>
          <w:p>
            <w:pPr>
              <w:pStyle w:val="0"/>
              <w:jc w:val="center"/>
            </w:pPr>
            <w:r>
              <w:rPr>
                <w:sz w:val="20"/>
              </w:rPr>
              <w:t xml:space="preserve">Истекший год (i-2)</w:t>
            </w:r>
          </w:p>
        </w:tc>
        <w:tc>
          <w:tcPr>
            <w:gridSpan w:val="2"/>
            <w:tcW w:w="1980" w:type="dxa"/>
          </w:tcPr>
          <w:p>
            <w:pPr>
              <w:pStyle w:val="0"/>
              <w:jc w:val="center"/>
            </w:pPr>
            <w:r>
              <w:rPr>
                <w:sz w:val="20"/>
              </w:rPr>
              <w:t xml:space="preserve">Текущий год (i-1)</w:t>
            </w:r>
          </w:p>
        </w:tc>
        <w:tc>
          <w:tcPr>
            <w:tcW w:w="1650"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990" w:type="dxa"/>
          </w:tcPr>
          <w:p>
            <w:pPr>
              <w:pStyle w:val="0"/>
              <w:jc w:val="center"/>
            </w:pPr>
            <w:r>
              <w:rPr>
                <w:sz w:val="20"/>
              </w:rPr>
              <w:t xml:space="preserve">план</w:t>
            </w:r>
          </w:p>
        </w:tc>
        <w:tc>
          <w:tcPr>
            <w:tcW w:w="825" w:type="dxa"/>
          </w:tcPr>
          <w:p>
            <w:pPr>
              <w:pStyle w:val="0"/>
              <w:jc w:val="center"/>
            </w:pPr>
            <w:r>
              <w:rPr>
                <w:sz w:val="20"/>
              </w:rPr>
              <w:t xml:space="preserve">факт</w:t>
            </w:r>
          </w:p>
        </w:tc>
        <w:tc>
          <w:tcPr>
            <w:tcW w:w="990" w:type="dxa"/>
          </w:tcPr>
          <w:p>
            <w:pPr>
              <w:pStyle w:val="0"/>
              <w:jc w:val="center"/>
            </w:pPr>
            <w:r>
              <w:rPr>
                <w:sz w:val="20"/>
              </w:rPr>
              <w:t xml:space="preserve">план</w:t>
            </w:r>
          </w:p>
        </w:tc>
        <w:tc>
          <w:tcPr>
            <w:tcW w:w="990" w:type="dxa"/>
          </w:tcPr>
          <w:p>
            <w:pPr>
              <w:pStyle w:val="0"/>
              <w:jc w:val="center"/>
            </w:pPr>
            <w:r>
              <w:rPr>
                <w:sz w:val="20"/>
              </w:rPr>
              <w:t xml:space="preserve">ожид</w:t>
            </w:r>
          </w:p>
        </w:tc>
        <w:tc>
          <w:tcPr>
            <w:vMerge w:val="continue"/>
          </w:tcPr>
          <w:p/>
        </w:tc>
      </w:tr>
      <w:tr>
        <w:tc>
          <w:tcPr>
            <w:tcW w:w="825" w:type="dxa"/>
          </w:tcPr>
          <w:p>
            <w:pPr>
              <w:pStyle w:val="0"/>
              <w:jc w:val="center"/>
            </w:pPr>
            <w:r>
              <w:rPr>
                <w:sz w:val="20"/>
              </w:rPr>
              <w:t xml:space="preserve">1</w:t>
            </w:r>
          </w:p>
        </w:tc>
        <w:tc>
          <w:tcPr>
            <w:tcW w:w="4290" w:type="dxa"/>
          </w:tcPr>
          <w:p>
            <w:pPr>
              <w:pStyle w:val="0"/>
              <w:jc w:val="center"/>
            </w:pPr>
            <w:r>
              <w:rPr>
                <w:sz w:val="20"/>
              </w:rPr>
              <w:t xml:space="preserve">2</w:t>
            </w:r>
          </w:p>
        </w:tc>
        <w:tc>
          <w:tcPr>
            <w:tcW w:w="1650" w:type="dxa"/>
          </w:tcPr>
          <w:p>
            <w:pPr>
              <w:pStyle w:val="0"/>
              <w:jc w:val="center"/>
            </w:pPr>
            <w:r>
              <w:rPr>
                <w:sz w:val="20"/>
              </w:rPr>
              <w:t xml:space="preserve">3</w:t>
            </w:r>
          </w:p>
        </w:tc>
        <w:tc>
          <w:tcPr>
            <w:tcW w:w="990" w:type="dxa"/>
          </w:tcPr>
          <w:p>
            <w:pPr>
              <w:pStyle w:val="0"/>
              <w:jc w:val="center"/>
            </w:pPr>
            <w:r>
              <w:rPr>
                <w:sz w:val="20"/>
              </w:rPr>
              <w:t xml:space="preserve">4</w:t>
            </w:r>
          </w:p>
        </w:tc>
        <w:tc>
          <w:tcPr>
            <w:tcW w:w="825" w:type="dxa"/>
          </w:tcPr>
          <w:p>
            <w:pPr>
              <w:pStyle w:val="0"/>
              <w:jc w:val="center"/>
            </w:pPr>
            <w:r>
              <w:rPr>
                <w:sz w:val="20"/>
              </w:rPr>
              <w:t xml:space="preserve">5</w:t>
            </w:r>
          </w:p>
        </w:tc>
        <w:tc>
          <w:tcPr>
            <w:tcW w:w="990" w:type="dxa"/>
          </w:tcPr>
          <w:p>
            <w:pPr>
              <w:pStyle w:val="0"/>
              <w:jc w:val="center"/>
            </w:pPr>
            <w:r>
              <w:rPr>
                <w:sz w:val="20"/>
              </w:rPr>
              <w:t xml:space="preserve">6</w:t>
            </w:r>
          </w:p>
        </w:tc>
        <w:tc>
          <w:tcPr>
            <w:tcW w:w="990" w:type="dxa"/>
          </w:tcPr>
          <w:p>
            <w:pPr>
              <w:pStyle w:val="0"/>
              <w:jc w:val="center"/>
            </w:pPr>
            <w:r>
              <w:rPr>
                <w:sz w:val="20"/>
              </w:rPr>
              <w:t xml:space="preserve">7</w:t>
            </w:r>
          </w:p>
        </w:tc>
        <w:tc>
          <w:tcPr>
            <w:tcW w:w="1650" w:type="dxa"/>
          </w:tcPr>
          <w:p>
            <w:pPr>
              <w:pStyle w:val="0"/>
              <w:jc w:val="center"/>
            </w:pPr>
            <w:r>
              <w:rPr>
                <w:sz w:val="20"/>
              </w:rPr>
              <w:t xml:space="preserve">8</w:t>
            </w:r>
          </w:p>
        </w:tc>
      </w:tr>
      <w:tr>
        <w:tc>
          <w:tcPr>
            <w:tcW w:w="825" w:type="dxa"/>
          </w:tcPr>
          <w:p>
            <w:pPr>
              <w:pStyle w:val="0"/>
              <w:outlineLvl w:val="2"/>
              <w:jc w:val="center"/>
            </w:pPr>
            <w:r>
              <w:rPr>
                <w:sz w:val="20"/>
              </w:rPr>
              <w:t xml:space="preserve">1</w:t>
            </w:r>
          </w:p>
        </w:tc>
        <w:tc>
          <w:tcPr>
            <w:tcW w:w="4290" w:type="dxa"/>
          </w:tcPr>
          <w:p>
            <w:pPr>
              <w:pStyle w:val="0"/>
            </w:pPr>
            <w:r>
              <w:rPr>
                <w:sz w:val="20"/>
              </w:rPr>
              <w:t xml:space="preserve">Уголь</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1.1</w:t>
            </w:r>
          </w:p>
        </w:tc>
        <w:tc>
          <w:tcPr>
            <w:tcW w:w="4290" w:type="dxa"/>
          </w:tcPr>
          <w:p>
            <w:pPr>
              <w:pStyle w:val="0"/>
            </w:pPr>
            <w:r>
              <w:rPr>
                <w:sz w:val="20"/>
              </w:rPr>
              <w:t xml:space="preserve">Количество (объем) топлива</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1.2</w:t>
            </w:r>
          </w:p>
        </w:tc>
        <w:tc>
          <w:tcPr>
            <w:tcW w:w="4290" w:type="dxa"/>
          </w:tcPr>
          <w:p>
            <w:pPr>
              <w:pStyle w:val="0"/>
            </w:pPr>
            <w:r>
              <w:rPr>
                <w:sz w:val="20"/>
              </w:rPr>
              <w:t xml:space="preserve">Цена топлива</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1.3</w:t>
            </w:r>
          </w:p>
        </w:tc>
        <w:tc>
          <w:tcPr>
            <w:tcW w:w="4290" w:type="dxa"/>
          </w:tcPr>
          <w:p>
            <w:pPr>
              <w:pStyle w:val="0"/>
            </w:pPr>
            <w:r>
              <w:rPr>
                <w:sz w:val="20"/>
              </w:rPr>
              <w:t xml:space="preserve">Затраты на топливо</w:t>
            </w:r>
          </w:p>
        </w:tc>
        <w:tc>
          <w:tcPr>
            <w:tcW w:w="165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outlineLvl w:val="2"/>
              <w:jc w:val="center"/>
            </w:pPr>
            <w:r>
              <w:rPr>
                <w:sz w:val="20"/>
              </w:rPr>
              <w:t xml:space="preserve">2</w:t>
            </w:r>
          </w:p>
        </w:tc>
        <w:tc>
          <w:tcPr>
            <w:tcW w:w="4290" w:type="dxa"/>
          </w:tcPr>
          <w:p>
            <w:pPr>
              <w:pStyle w:val="0"/>
            </w:pPr>
            <w:r>
              <w:rPr>
                <w:sz w:val="20"/>
              </w:rPr>
              <w:t xml:space="preserve">Газ</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2.1</w:t>
            </w:r>
          </w:p>
        </w:tc>
        <w:tc>
          <w:tcPr>
            <w:tcW w:w="4290" w:type="dxa"/>
          </w:tcPr>
          <w:p>
            <w:pPr>
              <w:pStyle w:val="0"/>
            </w:pPr>
            <w:r>
              <w:rPr>
                <w:sz w:val="20"/>
              </w:rPr>
              <w:t xml:space="preserve">Количество (объем) топлива</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2.2</w:t>
            </w:r>
          </w:p>
        </w:tc>
        <w:tc>
          <w:tcPr>
            <w:tcW w:w="4290" w:type="dxa"/>
          </w:tcPr>
          <w:p>
            <w:pPr>
              <w:pStyle w:val="0"/>
            </w:pPr>
            <w:r>
              <w:rPr>
                <w:sz w:val="20"/>
              </w:rPr>
              <w:t xml:space="preserve">Цена топлива</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2.3</w:t>
            </w:r>
          </w:p>
        </w:tc>
        <w:tc>
          <w:tcPr>
            <w:tcW w:w="4290" w:type="dxa"/>
          </w:tcPr>
          <w:p>
            <w:pPr>
              <w:pStyle w:val="0"/>
            </w:pPr>
            <w:r>
              <w:rPr>
                <w:sz w:val="20"/>
              </w:rPr>
              <w:t xml:space="preserve">Затраты на топливо</w:t>
            </w:r>
          </w:p>
        </w:tc>
        <w:tc>
          <w:tcPr>
            <w:tcW w:w="165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outlineLvl w:val="2"/>
              <w:jc w:val="center"/>
            </w:pPr>
            <w:r>
              <w:rPr>
                <w:sz w:val="20"/>
              </w:rPr>
              <w:t xml:space="preserve">3</w:t>
            </w:r>
          </w:p>
        </w:tc>
        <w:tc>
          <w:tcPr>
            <w:tcW w:w="4290" w:type="dxa"/>
          </w:tcPr>
          <w:p>
            <w:pPr>
              <w:pStyle w:val="0"/>
            </w:pPr>
            <w:r>
              <w:rPr>
                <w:sz w:val="20"/>
              </w:rPr>
              <w:t xml:space="preserve">Мазут</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3.1</w:t>
            </w:r>
          </w:p>
        </w:tc>
        <w:tc>
          <w:tcPr>
            <w:tcW w:w="4290" w:type="dxa"/>
          </w:tcPr>
          <w:p>
            <w:pPr>
              <w:pStyle w:val="0"/>
            </w:pPr>
            <w:r>
              <w:rPr>
                <w:sz w:val="20"/>
              </w:rPr>
              <w:t xml:space="preserve">Количество (объем) топлива</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3.2</w:t>
            </w:r>
          </w:p>
        </w:tc>
        <w:tc>
          <w:tcPr>
            <w:tcW w:w="4290" w:type="dxa"/>
          </w:tcPr>
          <w:p>
            <w:pPr>
              <w:pStyle w:val="0"/>
            </w:pPr>
            <w:r>
              <w:rPr>
                <w:sz w:val="20"/>
              </w:rPr>
              <w:t xml:space="preserve">Цена топлива</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3.3</w:t>
            </w:r>
          </w:p>
        </w:tc>
        <w:tc>
          <w:tcPr>
            <w:tcW w:w="4290" w:type="dxa"/>
          </w:tcPr>
          <w:p>
            <w:pPr>
              <w:pStyle w:val="0"/>
            </w:pPr>
            <w:r>
              <w:rPr>
                <w:sz w:val="20"/>
              </w:rPr>
              <w:t xml:space="preserve">Затраты на топливо</w:t>
            </w:r>
          </w:p>
        </w:tc>
        <w:tc>
          <w:tcPr>
            <w:tcW w:w="165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2.1.6</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bookmarkStart w:id="4071" w:name="P4071"/>
    <w:bookmarkEnd w:id="4071"/>
    <w:p>
      <w:pPr>
        <w:pStyle w:val="0"/>
        <w:jc w:val="center"/>
      </w:pPr>
      <w:r>
        <w:rPr>
          <w:sz w:val="20"/>
        </w:rPr>
        <w:t xml:space="preserve">Расходы на приобретение холодной воды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2598"/>
        <w:gridCol w:w="1620"/>
        <w:gridCol w:w="900"/>
        <w:gridCol w:w="900"/>
        <w:gridCol w:w="900"/>
        <w:gridCol w:w="1033"/>
        <w:gridCol w:w="1307"/>
      </w:tblGrid>
      <w:tr>
        <w:tc>
          <w:tcPr>
            <w:tcW w:w="524" w:type="dxa"/>
            <w:vMerge w:val="restart"/>
          </w:tcPr>
          <w:p>
            <w:pPr>
              <w:pStyle w:val="0"/>
              <w:jc w:val="center"/>
            </w:pPr>
            <w:r>
              <w:rPr>
                <w:sz w:val="20"/>
              </w:rPr>
              <w:t xml:space="preserve">N п/п</w:t>
            </w:r>
          </w:p>
        </w:tc>
        <w:tc>
          <w:tcPr>
            <w:tcW w:w="2598" w:type="dxa"/>
            <w:vMerge w:val="restart"/>
          </w:tcPr>
          <w:p>
            <w:pPr>
              <w:pStyle w:val="0"/>
              <w:jc w:val="center"/>
            </w:pPr>
            <w:r>
              <w:rPr>
                <w:sz w:val="20"/>
              </w:rPr>
              <w:t xml:space="preserve">Наименование</w:t>
            </w:r>
          </w:p>
        </w:tc>
        <w:tc>
          <w:tcPr>
            <w:tcW w:w="1620" w:type="dxa"/>
            <w:vMerge w:val="restart"/>
          </w:tcPr>
          <w:p>
            <w:pPr>
              <w:pStyle w:val="0"/>
              <w:jc w:val="center"/>
            </w:pPr>
            <w:r>
              <w:rPr>
                <w:sz w:val="20"/>
              </w:rPr>
              <w:t xml:space="preserve">Единица измерения</w:t>
            </w:r>
          </w:p>
        </w:tc>
        <w:tc>
          <w:tcPr>
            <w:gridSpan w:val="2"/>
            <w:tcW w:w="1800" w:type="dxa"/>
          </w:tcPr>
          <w:p>
            <w:pPr>
              <w:pStyle w:val="0"/>
              <w:jc w:val="center"/>
            </w:pPr>
            <w:r>
              <w:rPr>
                <w:sz w:val="20"/>
              </w:rPr>
              <w:t xml:space="preserve">Истекший год (i-2)</w:t>
            </w:r>
          </w:p>
        </w:tc>
        <w:tc>
          <w:tcPr>
            <w:gridSpan w:val="2"/>
            <w:tcW w:w="1933" w:type="dxa"/>
          </w:tcPr>
          <w:p>
            <w:pPr>
              <w:pStyle w:val="0"/>
              <w:jc w:val="center"/>
            </w:pPr>
            <w:r>
              <w:rPr>
                <w:sz w:val="20"/>
              </w:rPr>
              <w:t xml:space="preserve">Текущий год (i-1)</w:t>
            </w:r>
          </w:p>
        </w:tc>
        <w:tc>
          <w:tcPr>
            <w:tcW w:w="1307"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900" w:type="dxa"/>
          </w:tcPr>
          <w:p>
            <w:pPr>
              <w:pStyle w:val="0"/>
              <w:jc w:val="center"/>
            </w:pPr>
            <w:r>
              <w:rPr>
                <w:sz w:val="20"/>
              </w:rPr>
              <w:t xml:space="preserve">план</w:t>
            </w:r>
          </w:p>
        </w:tc>
        <w:tc>
          <w:tcPr>
            <w:tcW w:w="900" w:type="dxa"/>
          </w:tcPr>
          <w:p>
            <w:pPr>
              <w:pStyle w:val="0"/>
              <w:jc w:val="center"/>
            </w:pPr>
            <w:r>
              <w:rPr>
                <w:sz w:val="20"/>
              </w:rPr>
              <w:t xml:space="preserve">факт</w:t>
            </w:r>
          </w:p>
        </w:tc>
        <w:tc>
          <w:tcPr>
            <w:tcW w:w="900" w:type="dxa"/>
          </w:tcPr>
          <w:p>
            <w:pPr>
              <w:pStyle w:val="0"/>
              <w:jc w:val="center"/>
            </w:pPr>
            <w:r>
              <w:rPr>
                <w:sz w:val="20"/>
              </w:rPr>
              <w:t xml:space="preserve">план</w:t>
            </w:r>
          </w:p>
        </w:tc>
        <w:tc>
          <w:tcPr>
            <w:tcW w:w="1033" w:type="dxa"/>
          </w:tcPr>
          <w:p>
            <w:pPr>
              <w:pStyle w:val="0"/>
              <w:jc w:val="center"/>
            </w:pPr>
            <w:r>
              <w:rPr>
                <w:sz w:val="20"/>
              </w:rPr>
              <w:t xml:space="preserve">ожид</w:t>
            </w:r>
          </w:p>
        </w:tc>
        <w:tc>
          <w:tcPr>
            <w:vMerge w:val="continue"/>
          </w:tcPr>
          <w:p/>
        </w:tc>
      </w:tr>
      <w:tr>
        <w:tc>
          <w:tcPr>
            <w:tcW w:w="524" w:type="dxa"/>
          </w:tcPr>
          <w:p>
            <w:pPr>
              <w:pStyle w:val="0"/>
              <w:jc w:val="center"/>
            </w:pPr>
            <w:r>
              <w:rPr>
                <w:sz w:val="20"/>
              </w:rPr>
              <w:t xml:space="preserve">1</w:t>
            </w:r>
          </w:p>
        </w:tc>
        <w:tc>
          <w:tcPr>
            <w:tcW w:w="2598" w:type="dxa"/>
          </w:tcPr>
          <w:p>
            <w:pPr>
              <w:pStyle w:val="0"/>
              <w:jc w:val="center"/>
            </w:pPr>
            <w:r>
              <w:rPr>
                <w:sz w:val="20"/>
              </w:rPr>
              <w:t xml:space="preserve">2</w:t>
            </w:r>
          </w:p>
        </w:tc>
        <w:tc>
          <w:tcPr>
            <w:tcW w:w="1620" w:type="dxa"/>
          </w:tcPr>
          <w:p>
            <w:pPr>
              <w:pStyle w:val="0"/>
              <w:jc w:val="center"/>
            </w:pPr>
            <w:r>
              <w:rPr>
                <w:sz w:val="20"/>
              </w:rPr>
              <w:t xml:space="preserve">3</w:t>
            </w:r>
          </w:p>
        </w:tc>
        <w:tc>
          <w:tcPr>
            <w:tcW w:w="900" w:type="dxa"/>
          </w:tcPr>
          <w:p>
            <w:pPr>
              <w:pStyle w:val="0"/>
              <w:jc w:val="center"/>
            </w:pPr>
            <w:r>
              <w:rPr>
                <w:sz w:val="20"/>
              </w:rPr>
              <w:t xml:space="preserve">4</w:t>
            </w:r>
          </w:p>
        </w:tc>
        <w:tc>
          <w:tcPr>
            <w:tcW w:w="900" w:type="dxa"/>
          </w:tcPr>
          <w:p>
            <w:pPr>
              <w:pStyle w:val="0"/>
              <w:jc w:val="center"/>
            </w:pPr>
            <w:r>
              <w:rPr>
                <w:sz w:val="20"/>
              </w:rPr>
              <w:t xml:space="preserve">5</w:t>
            </w:r>
          </w:p>
        </w:tc>
        <w:tc>
          <w:tcPr>
            <w:tcW w:w="900" w:type="dxa"/>
          </w:tcPr>
          <w:p>
            <w:pPr>
              <w:pStyle w:val="0"/>
              <w:jc w:val="center"/>
            </w:pPr>
            <w:r>
              <w:rPr>
                <w:sz w:val="20"/>
              </w:rPr>
              <w:t xml:space="preserve">6</w:t>
            </w:r>
          </w:p>
        </w:tc>
        <w:tc>
          <w:tcPr>
            <w:tcW w:w="1033" w:type="dxa"/>
          </w:tcPr>
          <w:p>
            <w:pPr>
              <w:pStyle w:val="0"/>
              <w:jc w:val="center"/>
            </w:pPr>
            <w:r>
              <w:rPr>
                <w:sz w:val="20"/>
              </w:rPr>
              <w:t xml:space="preserve">7</w:t>
            </w:r>
          </w:p>
        </w:tc>
        <w:tc>
          <w:tcPr>
            <w:tcW w:w="1307" w:type="dxa"/>
          </w:tcPr>
          <w:p>
            <w:pPr>
              <w:pStyle w:val="0"/>
              <w:jc w:val="center"/>
            </w:pPr>
            <w:r>
              <w:rPr>
                <w:sz w:val="20"/>
              </w:rPr>
              <w:t xml:space="preserve">8</w:t>
            </w:r>
          </w:p>
        </w:tc>
      </w:tr>
      <w:tr>
        <w:tc>
          <w:tcPr>
            <w:tcW w:w="524" w:type="dxa"/>
          </w:tcPr>
          <w:p>
            <w:pPr>
              <w:pStyle w:val="0"/>
              <w:jc w:val="center"/>
            </w:pPr>
            <w:r>
              <w:rPr>
                <w:sz w:val="20"/>
              </w:rPr>
              <w:t xml:space="preserve">A.</w:t>
            </w:r>
          </w:p>
        </w:tc>
        <w:tc>
          <w:tcPr>
            <w:tcW w:w="2598" w:type="dxa"/>
          </w:tcPr>
          <w:p>
            <w:pPr>
              <w:pStyle w:val="0"/>
            </w:pPr>
            <w:r>
              <w:rPr>
                <w:sz w:val="20"/>
              </w:rPr>
              <w:t xml:space="preserve">Поставщик</w:t>
            </w:r>
          </w:p>
        </w:tc>
        <w:tc>
          <w:tcPr>
            <w:tcW w:w="162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033" w:type="dxa"/>
          </w:tcPr>
          <w:p>
            <w:pPr>
              <w:pStyle w:val="0"/>
            </w:pPr>
            <w:r>
              <w:rPr>
                <w:sz w:val="20"/>
              </w:rPr>
            </w:r>
          </w:p>
        </w:tc>
        <w:tc>
          <w:tcPr>
            <w:tcW w:w="1307" w:type="dxa"/>
          </w:tcPr>
          <w:p>
            <w:pPr>
              <w:pStyle w:val="0"/>
            </w:pPr>
            <w:r>
              <w:rPr>
                <w:sz w:val="20"/>
              </w:rPr>
            </w:r>
          </w:p>
        </w:tc>
      </w:tr>
      <w:tr>
        <w:tc>
          <w:tcPr>
            <w:tcW w:w="524" w:type="dxa"/>
          </w:tcPr>
          <w:p>
            <w:pPr>
              <w:pStyle w:val="0"/>
              <w:jc w:val="center"/>
            </w:pPr>
            <w:r>
              <w:rPr>
                <w:sz w:val="20"/>
              </w:rPr>
              <w:t xml:space="preserve">1</w:t>
            </w:r>
          </w:p>
        </w:tc>
        <w:tc>
          <w:tcPr>
            <w:tcW w:w="2598" w:type="dxa"/>
          </w:tcPr>
          <w:p>
            <w:pPr>
              <w:pStyle w:val="0"/>
            </w:pPr>
            <w:r>
              <w:rPr>
                <w:sz w:val="20"/>
              </w:rPr>
              <w:t xml:space="preserve">Объем холодной воды</w:t>
            </w:r>
          </w:p>
        </w:tc>
        <w:tc>
          <w:tcPr>
            <w:tcW w:w="1620" w:type="dxa"/>
          </w:tcPr>
          <w:p>
            <w:pPr>
              <w:pStyle w:val="0"/>
              <w:jc w:val="center"/>
            </w:pPr>
            <w:r>
              <w:rPr>
                <w:sz w:val="20"/>
              </w:rPr>
              <w:t xml:space="preserve">тыс. куб. м</w:t>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033" w:type="dxa"/>
          </w:tcPr>
          <w:p>
            <w:pPr>
              <w:pStyle w:val="0"/>
            </w:pPr>
            <w:r>
              <w:rPr>
                <w:sz w:val="20"/>
              </w:rPr>
            </w:r>
          </w:p>
        </w:tc>
        <w:tc>
          <w:tcPr>
            <w:tcW w:w="1307" w:type="dxa"/>
          </w:tcPr>
          <w:p>
            <w:pPr>
              <w:pStyle w:val="0"/>
            </w:pPr>
            <w:r>
              <w:rPr>
                <w:sz w:val="20"/>
              </w:rPr>
            </w:r>
          </w:p>
        </w:tc>
      </w:tr>
      <w:tr>
        <w:tc>
          <w:tcPr>
            <w:tcW w:w="524" w:type="dxa"/>
          </w:tcPr>
          <w:p>
            <w:pPr>
              <w:pStyle w:val="0"/>
              <w:jc w:val="center"/>
            </w:pPr>
            <w:r>
              <w:rPr>
                <w:sz w:val="20"/>
              </w:rPr>
              <w:t xml:space="preserve">2</w:t>
            </w:r>
          </w:p>
        </w:tc>
        <w:tc>
          <w:tcPr>
            <w:tcW w:w="2598" w:type="dxa"/>
          </w:tcPr>
          <w:p>
            <w:pPr>
              <w:pStyle w:val="0"/>
            </w:pPr>
            <w:r>
              <w:rPr>
                <w:sz w:val="20"/>
              </w:rPr>
              <w:t xml:space="preserve">Тариф на холодную воду</w:t>
            </w:r>
          </w:p>
        </w:tc>
        <w:tc>
          <w:tcPr>
            <w:tcW w:w="1620" w:type="dxa"/>
          </w:tcPr>
          <w:p>
            <w:pPr>
              <w:pStyle w:val="0"/>
              <w:jc w:val="center"/>
            </w:pPr>
            <w:r>
              <w:rPr>
                <w:sz w:val="20"/>
              </w:rPr>
              <w:t xml:space="preserve">руб./куб. м</w:t>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033" w:type="dxa"/>
          </w:tcPr>
          <w:p>
            <w:pPr>
              <w:pStyle w:val="0"/>
            </w:pPr>
            <w:r>
              <w:rPr>
                <w:sz w:val="20"/>
              </w:rPr>
            </w:r>
          </w:p>
        </w:tc>
        <w:tc>
          <w:tcPr>
            <w:tcW w:w="1307" w:type="dxa"/>
          </w:tcPr>
          <w:p>
            <w:pPr>
              <w:pStyle w:val="0"/>
            </w:pPr>
            <w:r>
              <w:rPr>
                <w:sz w:val="20"/>
              </w:rPr>
            </w:r>
          </w:p>
        </w:tc>
      </w:tr>
      <w:tr>
        <w:tc>
          <w:tcPr>
            <w:tcW w:w="524" w:type="dxa"/>
          </w:tcPr>
          <w:p>
            <w:pPr>
              <w:pStyle w:val="0"/>
              <w:jc w:val="center"/>
            </w:pPr>
            <w:r>
              <w:rPr>
                <w:sz w:val="20"/>
              </w:rPr>
              <w:t xml:space="preserve">3</w:t>
            </w:r>
          </w:p>
        </w:tc>
        <w:tc>
          <w:tcPr>
            <w:tcW w:w="2598" w:type="dxa"/>
          </w:tcPr>
          <w:p>
            <w:pPr>
              <w:pStyle w:val="0"/>
            </w:pPr>
            <w:r>
              <w:rPr>
                <w:sz w:val="20"/>
              </w:rPr>
              <w:t xml:space="preserve">Затраты на холодную воду</w:t>
            </w:r>
          </w:p>
        </w:tc>
        <w:tc>
          <w:tcPr>
            <w:tcW w:w="1620" w:type="dxa"/>
          </w:tcPr>
          <w:p>
            <w:pPr>
              <w:pStyle w:val="0"/>
              <w:jc w:val="center"/>
            </w:pPr>
            <w:r>
              <w:rPr>
                <w:sz w:val="20"/>
              </w:rPr>
              <w:t xml:space="preserve">тыс. руб.</w:t>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033" w:type="dxa"/>
          </w:tcPr>
          <w:p>
            <w:pPr>
              <w:pStyle w:val="0"/>
            </w:pPr>
            <w:r>
              <w:rPr>
                <w:sz w:val="20"/>
              </w:rPr>
            </w:r>
          </w:p>
        </w:tc>
        <w:tc>
          <w:tcPr>
            <w:tcW w:w="1307" w:type="dxa"/>
          </w:tcPr>
          <w:p>
            <w:pPr>
              <w:pStyle w:val="0"/>
            </w:pPr>
            <w:r>
              <w:rPr>
                <w:sz w:val="20"/>
              </w:rPr>
            </w:r>
          </w:p>
        </w:tc>
      </w:tr>
      <w:tr>
        <w:tc>
          <w:tcPr>
            <w:tcW w:w="524" w:type="dxa"/>
          </w:tcPr>
          <w:p>
            <w:pPr>
              <w:pStyle w:val="0"/>
              <w:jc w:val="center"/>
            </w:pPr>
            <w:r>
              <w:rPr>
                <w:sz w:val="20"/>
              </w:rPr>
              <w:t xml:space="preserve">N</w:t>
            </w:r>
          </w:p>
        </w:tc>
        <w:tc>
          <w:tcPr>
            <w:tcW w:w="2598" w:type="dxa"/>
          </w:tcPr>
          <w:p>
            <w:pPr>
              <w:pStyle w:val="0"/>
            </w:pPr>
            <w:r>
              <w:rPr>
                <w:sz w:val="20"/>
              </w:rPr>
              <w:t xml:space="preserve">Поставщик</w:t>
            </w:r>
          </w:p>
        </w:tc>
        <w:tc>
          <w:tcPr>
            <w:tcW w:w="162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900" w:type="dxa"/>
          </w:tcPr>
          <w:p>
            <w:pPr>
              <w:pStyle w:val="0"/>
            </w:pPr>
            <w:r>
              <w:rPr>
                <w:sz w:val="20"/>
              </w:rPr>
            </w:r>
          </w:p>
        </w:tc>
        <w:tc>
          <w:tcPr>
            <w:tcW w:w="1033" w:type="dxa"/>
          </w:tcPr>
          <w:p>
            <w:pPr>
              <w:pStyle w:val="0"/>
            </w:pPr>
            <w:r>
              <w:rPr>
                <w:sz w:val="20"/>
              </w:rPr>
            </w:r>
          </w:p>
        </w:tc>
        <w:tc>
          <w:tcPr>
            <w:tcW w:w="130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2.2</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bookmarkStart w:id="4141" w:name="P4141"/>
    <w:bookmarkEnd w:id="4141"/>
    <w:p>
      <w:pPr>
        <w:pStyle w:val="0"/>
        <w:jc w:val="center"/>
      </w:pPr>
      <w:r>
        <w:rPr>
          <w:sz w:val="20"/>
        </w:rPr>
        <w:t xml:space="preserve">Расходы</w:t>
      </w:r>
    </w:p>
    <w:p>
      <w:pPr>
        <w:pStyle w:val="0"/>
        <w:jc w:val="center"/>
      </w:pPr>
      <w:r>
        <w:rPr>
          <w:sz w:val="20"/>
        </w:rPr>
        <w:t xml:space="preserve">на оплату труда в целом по регулируемым видам деятельности</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5115"/>
        <w:gridCol w:w="1155"/>
        <w:gridCol w:w="825"/>
        <w:gridCol w:w="825"/>
        <w:gridCol w:w="825"/>
        <w:gridCol w:w="825"/>
        <w:gridCol w:w="1650"/>
      </w:tblGrid>
      <w:tr>
        <w:tc>
          <w:tcPr>
            <w:tcW w:w="990" w:type="dxa"/>
            <w:vMerge w:val="restart"/>
          </w:tcPr>
          <w:p>
            <w:pPr>
              <w:pStyle w:val="0"/>
              <w:jc w:val="center"/>
            </w:pPr>
            <w:r>
              <w:rPr>
                <w:sz w:val="20"/>
              </w:rPr>
              <w:t xml:space="preserve">N п/п</w:t>
            </w:r>
          </w:p>
        </w:tc>
        <w:tc>
          <w:tcPr>
            <w:tcW w:w="5115" w:type="dxa"/>
            <w:vMerge w:val="restart"/>
          </w:tcPr>
          <w:p>
            <w:pPr>
              <w:pStyle w:val="0"/>
              <w:jc w:val="center"/>
            </w:pPr>
            <w:r>
              <w:rPr>
                <w:sz w:val="20"/>
              </w:rPr>
              <w:t xml:space="preserve">Наименование</w:t>
            </w:r>
          </w:p>
        </w:tc>
        <w:tc>
          <w:tcPr>
            <w:tcW w:w="1155" w:type="dxa"/>
            <w:vMerge w:val="restart"/>
          </w:tcPr>
          <w:p>
            <w:pPr>
              <w:pStyle w:val="0"/>
              <w:jc w:val="center"/>
            </w:pPr>
            <w:r>
              <w:rPr>
                <w:sz w:val="20"/>
              </w:rPr>
              <w:t xml:space="preserve">Единица измерения</w:t>
            </w:r>
          </w:p>
        </w:tc>
        <w:tc>
          <w:tcPr>
            <w:gridSpan w:val="2"/>
            <w:tcW w:w="1650" w:type="dxa"/>
          </w:tcPr>
          <w:p>
            <w:pPr>
              <w:pStyle w:val="0"/>
              <w:jc w:val="center"/>
            </w:pPr>
            <w:r>
              <w:rPr>
                <w:sz w:val="20"/>
              </w:rPr>
              <w:t xml:space="preserve">Истекший год (i-2)</w:t>
            </w:r>
          </w:p>
        </w:tc>
        <w:tc>
          <w:tcPr>
            <w:gridSpan w:val="2"/>
            <w:tcW w:w="1650" w:type="dxa"/>
          </w:tcPr>
          <w:p>
            <w:pPr>
              <w:pStyle w:val="0"/>
              <w:jc w:val="center"/>
            </w:pPr>
            <w:r>
              <w:rPr>
                <w:sz w:val="20"/>
              </w:rPr>
              <w:t xml:space="preserve">Текущий год (i-1)</w:t>
            </w:r>
          </w:p>
        </w:tc>
        <w:tc>
          <w:tcPr>
            <w:tcW w:w="1650"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825" w:type="dxa"/>
          </w:tcPr>
          <w:p>
            <w:pPr>
              <w:pStyle w:val="0"/>
              <w:jc w:val="center"/>
            </w:pPr>
            <w:r>
              <w:rPr>
                <w:sz w:val="20"/>
              </w:rPr>
              <w:t xml:space="preserve">план</w:t>
            </w:r>
          </w:p>
        </w:tc>
        <w:tc>
          <w:tcPr>
            <w:tcW w:w="825" w:type="dxa"/>
          </w:tcPr>
          <w:p>
            <w:pPr>
              <w:pStyle w:val="0"/>
              <w:jc w:val="center"/>
            </w:pPr>
            <w:r>
              <w:rPr>
                <w:sz w:val="20"/>
              </w:rPr>
              <w:t xml:space="preserve">факт</w:t>
            </w:r>
          </w:p>
        </w:tc>
        <w:tc>
          <w:tcPr>
            <w:tcW w:w="825" w:type="dxa"/>
          </w:tcPr>
          <w:p>
            <w:pPr>
              <w:pStyle w:val="0"/>
              <w:jc w:val="center"/>
            </w:pPr>
            <w:r>
              <w:rPr>
                <w:sz w:val="20"/>
              </w:rPr>
              <w:t xml:space="preserve">план</w:t>
            </w:r>
          </w:p>
        </w:tc>
        <w:tc>
          <w:tcPr>
            <w:tcW w:w="825" w:type="dxa"/>
          </w:tcPr>
          <w:p>
            <w:pPr>
              <w:pStyle w:val="0"/>
              <w:jc w:val="center"/>
            </w:pPr>
            <w:r>
              <w:rPr>
                <w:sz w:val="20"/>
              </w:rPr>
              <w:t xml:space="preserve">ожид</w:t>
            </w:r>
          </w:p>
        </w:tc>
        <w:tc>
          <w:tcPr>
            <w:vMerge w:val="continue"/>
          </w:tcPr>
          <w:p/>
        </w:tc>
      </w:tr>
      <w:tr>
        <w:tc>
          <w:tcPr>
            <w:tcW w:w="990" w:type="dxa"/>
          </w:tcPr>
          <w:p>
            <w:pPr>
              <w:pStyle w:val="0"/>
              <w:jc w:val="center"/>
            </w:pPr>
            <w:r>
              <w:rPr>
                <w:sz w:val="20"/>
              </w:rPr>
              <w:t xml:space="preserve">1</w:t>
            </w:r>
          </w:p>
        </w:tc>
        <w:tc>
          <w:tcPr>
            <w:tcW w:w="5115" w:type="dxa"/>
          </w:tcPr>
          <w:p>
            <w:pPr>
              <w:pStyle w:val="0"/>
              <w:jc w:val="center"/>
            </w:pPr>
            <w:r>
              <w:rPr>
                <w:sz w:val="20"/>
              </w:rPr>
              <w:t xml:space="preserve">2</w:t>
            </w:r>
          </w:p>
        </w:tc>
        <w:tc>
          <w:tcPr>
            <w:tcW w:w="1155" w:type="dxa"/>
          </w:tcPr>
          <w:p>
            <w:pPr>
              <w:pStyle w:val="0"/>
              <w:jc w:val="center"/>
            </w:pPr>
            <w:r>
              <w:rPr>
                <w:sz w:val="20"/>
              </w:rPr>
              <w:t xml:space="preserve">3</w:t>
            </w:r>
          </w:p>
        </w:tc>
        <w:tc>
          <w:tcPr>
            <w:tcW w:w="825" w:type="dxa"/>
          </w:tcPr>
          <w:p>
            <w:pPr>
              <w:pStyle w:val="0"/>
              <w:jc w:val="center"/>
            </w:pPr>
            <w:r>
              <w:rPr>
                <w:sz w:val="20"/>
              </w:rPr>
              <w:t xml:space="preserve">4</w:t>
            </w:r>
          </w:p>
        </w:tc>
        <w:tc>
          <w:tcPr>
            <w:tcW w:w="825" w:type="dxa"/>
          </w:tcPr>
          <w:p>
            <w:pPr>
              <w:pStyle w:val="0"/>
              <w:jc w:val="center"/>
            </w:pPr>
            <w:r>
              <w:rPr>
                <w:sz w:val="20"/>
              </w:rPr>
              <w:t xml:space="preserve">5</w:t>
            </w:r>
          </w:p>
        </w:tc>
        <w:tc>
          <w:tcPr>
            <w:tcW w:w="825" w:type="dxa"/>
          </w:tcPr>
          <w:p>
            <w:pPr>
              <w:pStyle w:val="0"/>
              <w:jc w:val="center"/>
            </w:pPr>
            <w:r>
              <w:rPr>
                <w:sz w:val="20"/>
              </w:rPr>
              <w:t xml:space="preserve">6</w:t>
            </w:r>
          </w:p>
        </w:tc>
        <w:tc>
          <w:tcPr>
            <w:tcW w:w="825" w:type="dxa"/>
          </w:tcPr>
          <w:p>
            <w:pPr>
              <w:pStyle w:val="0"/>
              <w:jc w:val="center"/>
            </w:pPr>
            <w:r>
              <w:rPr>
                <w:sz w:val="20"/>
              </w:rPr>
              <w:t xml:space="preserve">7</w:t>
            </w:r>
          </w:p>
        </w:tc>
        <w:tc>
          <w:tcPr>
            <w:tcW w:w="1650" w:type="dxa"/>
          </w:tcPr>
          <w:p>
            <w:pPr>
              <w:pStyle w:val="0"/>
              <w:jc w:val="center"/>
            </w:pPr>
            <w:r>
              <w:rPr>
                <w:sz w:val="20"/>
              </w:rPr>
              <w:t xml:space="preserve">8</w:t>
            </w:r>
          </w:p>
        </w:tc>
      </w:tr>
      <w:tr>
        <w:tc>
          <w:tcPr>
            <w:tcW w:w="990" w:type="dxa"/>
          </w:tcPr>
          <w:p>
            <w:pPr>
              <w:pStyle w:val="0"/>
              <w:jc w:val="center"/>
            </w:pPr>
            <w:r>
              <w:rPr>
                <w:sz w:val="20"/>
              </w:rPr>
            </w:r>
          </w:p>
        </w:tc>
        <w:tc>
          <w:tcPr>
            <w:tcW w:w="5115" w:type="dxa"/>
          </w:tcPr>
          <w:p>
            <w:pPr>
              <w:pStyle w:val="0"/>
              <w:outlineLvl w:val="2"/>
            </w:pPr>
            <w:r>
              <w:rPr>
                <w:sz w:val="20"/>
              </w:rPr>
              <w:t xml:space="preserve">Производственный персонал</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1</w:t>
            </w:r>
          </w:p>
        </w:tc>
        <w:tc>
          <w:tcPr>
            <w:tcW w:w="5115" w:type="dxa"/>
          </w:tcPr>
          <w:p>
            <w:pPr>
              <w:pStyle w:val="0"/>
            </w:pPr>
            <w:r>
              <w:rPr>
                <w:sz w:val="20"/>
              </w:rPr>
              <w:t xml:space="preserve">Численность (среднесписочная), принятая для расчета</w:t>
            </w:r>
          </w:p>
        </w:tc>
        <w:tc>
          <w:tcPr>
            <w:tcW w:w="1155" w:type="dxa"/>
          </w:tcPr>
          <w:p>
            <w:pPr>
              <w:pStyle w:val="0"/>
              <w:jc w:val="center"/>
            </w:pPr>
            <w:r>
              <w:rPr>
                <w:sz w:val="20"/>
              </w:rPr>
              <w:t xml:space="preserve">чел.</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w:t>
            </w:r>
          </w:p>
        </w:tc>
        <w:tc>
          <w:tcPr>
            <w:tcW w:w="5115" w:type="dxa"/>
          </w:tcPr>
          <w:p>
            <w:pPr>
              <w:pStyle w:val="0"/>
            </w:pPr>
            <w:r>
              <w:rPr>
                <w:sz w:val="20"/>
              </w:rPr>
              <w:t xml:space="preserve">Средняя оплата труда</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2.1</w:t>
            </w:r>
          </w:p>
        </w:tc>
        <w:tc>
          <w:tcPr>
            <w:tcW w:w="5115" w:type="dxa"/>
          </w:tcPr>
          <w:p>
            <w:pPr>
              <w:pStyle w:val="0"/>
            </w:pPr>
            <w:r>
              <w:rPr>
                <w:sz w:val="20"/>
              </w:rPr>
              <w:t xml:space="preserve">Тарифная ставка рабочего 1 разряда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2.2</w:t>
            </w:r>
          </w:p>
        </w:tc>
        <w:tc>
          <w:tcPr>
            <w:tcW w:w="5115" w:type="dxa"/>
          </w:tcPr>
          <w:p>
            <w:pPr>
              <w:pStyle w:val="0"/>
            </w:pPr>
            <w:r>
              <w:rPr>
                <w:sz w:val="20"/>
              </w:rPr>
              <w:t xml:space="preserve">Индекс роста номинальной заработной платы</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2.3</w:t>
            </w:r>
          </w:p>
        </w:tc>
        <w:tc>
          <w:tcPr>
            <w:tcW w:w="5115" w:type="dxa"/>
          </w:tcPr>
          <w:p>
            <w:pPr>
              <w:pStyle w:val="0"/>
            </w:pPr>
            <w:r>
              <w:rPr>
                <w:sz w:val="20"/>
              </w:rPr>
              <w:t xml:space="preserve">Тарифная ставка рабочего 1 разряда с учетом дефлятора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2.4</w:t>
            </w:r>
          </w:p>
        </w:tc>
        <w:tc>
          <w:tcPr>
            <w:tcW w:w="5115" w:type="dxa"/>
          </w:tcPr>
          <w:p>
            <w:pPr>
              <w:pStyle w:val="0"/>
            </w:pPr>
            <w:r>
              <w:rPr>
                <w:sz w:val="20"/>
              </w:rPr>
              <w:t xml:space="preserve">Средний тарифный коэффициент</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2.5</w:t>
            </w:r>
          </w:p>
        </w:tc>
        <w:tc>
          <w:tcPr>
            <w:tcW w:w="5115" w:type="dxa"/>
          </w:tcPr>
          <w:p>
            <w:pPr>
              <w:pStyle w:val="0"/>
            </w:pPr>
            <w:r>
              <w:rPr>
                <w:sz w:val="20"/>
              </w:rPr>
              <w:t xml:space="preserve">Среднемесячная тарифная ставка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2.6</w:t>
            </w:r>
          </w:p>
        </w:tc>
        <w:tc>
          <w:tcPr>
            <w:tcW w:w="5115" w:type="dxa"/>
          </w:tcPr>
          <w:p>
            <w:pPr>
              <w:pStyle w:val="0"/>
            </w:pPr>
            <w:r>
              <w:rPr>
                <w:sz w:val="20"/>
              </w:rPr>
              <w:t xml:space="preserve">Минимальный размер оплаты труда по отраслевому тарифному соглашению</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2.7</w:t>
            </w:r>
          </w:p>
        </w:tc>
        <w:tc>
          <w:tcPr>
            <w:tcW w:w="5115" w:type="dxa"/>
          </w:tcPr>
          <w:p>
            <w:pPr>
              <w:pStyle w:val="0"/>
            </w:pPr>
            <w:r>
              <w:rPr>
                <w:sz w:val="20"/>
              </w:rPr>
              <w:t xml:space="preserve">Выплаты, связанные с режимом работы и условиями труда на 1 работника в месяц</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2.7.1</w:t>
            </w:r>
          </w:p>
        </w:tc>
        <w:tc>
          <w:tcPr>
            <w:tcW w:w="5115" w:type="dxa"/>
          </w:tcPr>
          <w:p>
            <w:pPr>
              <w:pStyle w:val="0"/>
              <w:ind w:left="283"/>
            </w:pPr>
            <w:r>
              <w:rPr>
                <w:sz w:val="20"/>
              </w:rPr>
              <w:t xml:space="preserve">Процент</w:t>
            </w:r>
          </w:p>
        </w:tc>
        <w:tc>
          <w:tcPr>
            <w:tcW w:w="1155"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2.7.2</w:t>
            </w:r>
          </w:p>
        </w:tc>
        <w:tc>
          <w:tcPr>
            <w:tcW w:w="5115" w:type="dxa"/>
          </w:tcPr>
          <w:p>
            <w:pPr>
              <w:pStyle w:val="0"/>
              <w:ind w:left="283"/>
            </w:pPr>
            <w:r>
              <w:rPr>
                <w:sz w:val="20"/>
              </w:rPr>
              <w:t xml:space="preserve">Сумма выплат</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2.8</w:t>
            </w:r>
          </w:p>
        </w:tc>
        <w:tc>
          <w:tcPr>
            <w:tcW w:w="5115" w:type="dxa"/>
          </w:tcPr>
          <w:p>
            <w:pPr>
              <w:pStyle w:val="0"/>
            </w:pPr>
            <w:r>
              <w:rPr>
                <w:sz w:val="20"/>
              </w:rPr>
              <w:t xml:space="preserve">Текущее премирование</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2.8.1</w:t>
            </w:r>
          </w:p>
        </w:tc>
        <w:tc>
          <w:tcPr>
            <w:tcW w:w="5115" w:type="dxa"/>
          </w:tcPr>
          <w:p>
            <w:pPr>
              <w:pStyle w:val="0"/>
              <w:ind w:left="283"/>
            </w:pPr>
            <w:r>
              <w:rPr>
                <w:sz w:val="20"/>
              </w:rPr>
              <w:t xml:space="preserve">процент</w:t>
            </w:r>
          </w:p>
        </w:tc>
        <w:tc>
          <w:tcPr>
            <w:tcW w:w="1155"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2.8.2</w:t>
            </w:r>
          </w:p>
        </w:tc>
        <w:tc>
          <w:tcPr>
            <w:tcW w:w="5115" w:type="dxa"/>
          </w:tcPr>
          <w:p>
            <w:pPr>
              <w:pStyle w:val="0"/>
              <w:ind w:left="283"/>
            </w:pPr>
            <w:r>
              <w:rPr>
                <w:sz w:val="20"/>
              </w:rPr>
              <w:t xml:space="preserve">сумма выплат</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w:t>
            </w:r>
          </w:p>
        </w:tc>
        <w:tc>
          <w:tcPr>
            <w:tcW w:w="5115" w:type="dxa"/>
          </w:tcPr>
          <w:p>
            <w:pPr>
              <w:pStyle w:val="0"/>
            </w:pPr>
            <w:r>
              <w:rPr>
                <w:sz w:val="20"/>
              </w:rPr>
              <w:t xml:space="preserve">Доп. премирование, включая вознаграждение за выслугу лет</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2.9.1</w:t>
            </w:r>
          </w:p>
        </w:tc>
        <w:tc>
          <w:tcPr>
            <w:tcW w:w="5115" w:type="dxa"/>
          </w:tcPr>
          <w:p>
            <w:pPr>
              <w:pStyle w:val="0"/>
              <w:ind w:left="283"/>
            </w:pPr>
            <w:r>
              <w:rPr>
                <w:sz w:val="20"/>
              </w:rPr>
              <w:t xml:space="preserve">процент</w:t>
            </w:r>
          </w:p>
        </w:tc>
        <w:tc>
          <w:tcPr>
            <w:tcW w:w="1155"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2.9.2</w:t>
            </w:r>
          </w:p>
        </w:tc>
        <w:tc>
          <w:tcPr>
            <w:tcW w:w="5115" w:type="dxa"/>
          </w:tcPr>
          <w:p>
            <w:pPr>
              <w:pStyle w:val="0"/>
              <w:ind w:left="283"/>
            </w:pPr>
            <w:r>
              <w:rPr>
                <w:sz w:val="20"/>
              </w:rPr>
              <w:t xml:space="preserve">сумма выплат</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2.9.3</w:t>
            </w:r>
          </w:p>
        </w:tc>
        <w:tc>
          <w:tcPr>
            <w:tcW w:w="5115" w:type="dxa"/>
          </w:tcPr>
          <w:p>
            <w:pPr>
              <w:pStyle w:val="0"/>
              <w:ind w:left="283"/>
            </w:pPr>
            <w:r>
              <w:rPr>
                <w:sz w:val="20"/>
              </w:rPr>
              <w:t xml:space="preserve">прочее</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2.9.4</w:t>
            </w:r>
          </w:p>
        </w:tc>
        <w:tc>
          <w:tcPr>
            <w:tcW w:w="5115" w:type="dxa"/>
          </w:tcPr>
          <w:p>
            <w:pPr>
              <w:pStyle w:val="0"/>
              <w:ind w:left="283"/>
            </w:pPr>
            <w:r>
              <w:rPr>
                <w:sz w:val="20"/>
              </w:rPr>
              <w:t xml:space="preserve">северные надбавки</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2.10</w:t>
            </w:r>
          </w:p>
        </w:tc>
        <w:tc>
          <w:tcPr>
            <w:tcW w:w="5115" w:type="dxa"/>
          </w:tcPr>
          <w:p>
            <w:pPr>
              <w:pStyle w:val="0"/>
            </w:pPr>
            <w:r>
              <w:rPr>
                <w:sz w:val="20"/>
              </w:rPr>
              <w:t xml:space="preserve">ИТОГО среднемесячная оплата труда на 1 работника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2.11</w:t>
            </w:r>
          </w:p>
        </w:tc>
        <w:tc>
          <w:tcPr>
            <w:tcW w:w="5115" w:type="dxa"/>
          </w:tcPr>
          <w:p>
            <w:pPr>
              <w:pStyle w:val="0"/>
            </w:pPr>
            <w:r>
              <w:rPr>
                <w:sz w:val="20"/>
              </w:rPr>
              <w:t xml:space="preserve">Фонд оплаты труда</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w:t>
            </w:r>
          </w:p>
        </w:tc>
        <w:tc>
          <w:tcPr>
            <w:tcW w:w="5115" w:type="dxa"/>
          </w:tcPr>
          <w:p>
            <w:pPr>
              <w:pStyle w:val="0"/>
            </w:pPr>
            <w:r>
              <w:rPr>
                <w:sz w:val="20"/>
              </w:rPr>
              <w:t xml:space="preserve">Расчет средств на оплату труда (прибыль)</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3.1</w:t>
            </w:r>
          </w:p>
        </w:tc>
        <w:tc>
          <w:tcPr>
            <w:tcW w:w="5115" w:type="dxa"/>
          </w:tcPr>
          <w:p>
            <w:pPr>
              <w:pStyle w:val="0"/>
            </w:pPr>
            <w:r>
              <w:rPr>
                <w:sz w:val="20"/>
              </w:rPr>
              <w:t xml:space="preserve">Льготный проезд к месту отдыха</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3.2</w:t>
            </w:r>
          </w:p>
        </w:tc>
        <w:tc>
          <w:tcPr>
            <w:tcW w:w="5115" w:type="dxa"/>
          </w:tcPr>
          <w:p>
            <w:pPr>
              <w:pStyle w:val="0"/>
            </w:pPr>
            <w:r>
              <w:rPr>
                <w:sz w:val="20"/>
              </w:rPr>
              <w:t xml:space="preserve">По </w:t>
            </w:r>
            <w:hyperlink w:history="0" r:id="rId493" w:tooltip="Постановление Правительства РФ от 03.11.1994 N 1206 (ред. от 29.11.2018) &quot;Об утверждении Порядка назначения и выплаты ежемесячных компенсационных выплат отдельным категориям граждан&quot; ------------ Утратил силу или отменен {КонсультантПлюс}">
              <w:r>
                <w:rPr>
                  <w:sz w:val="20"/>
                  <w:color w:val="0000ff"/>
                </w:rPr>
                <w:t xml:space="preserve">постановлению</w:t>
              </w:r>
            </w:hyperlink>
            <w:r>
              <w:rPr>
                <w:sz w:val="20"/>
              </w:rPr>
              <w:t xml:space="preserve"> Правительства Российской Федерации от 03.11.1994 N 1206 </w:t>
            </w:r>
            <w:hyperlink w:history="0" w:anchor="P4836" w:tooltip="&lt;*&gt; Постановление Правительства Российской Федерации от 3 ноября 1994 г. N 1206 (Собрание законодательства Российской Федерации, 1994, N 29, ст. 3035; 2003, N 33, ст. 3269; 2006, N 33, ст. 3633; 2012, N 22, ст. 2867; 2013, N 13, ст. 1559; 2013, N 22, ст. 2809) (далее - Постановление Правительства Российской Федерации от 03.11.1994 N 1206).">
              <w:r>
                <w:rPr>
                  <w:sz w:val="20"/>
                  <w:color w:val="0000ff"/>
                </w:rPr>
                <w:t xml:space="preserve">&lt;*&gt;</w:t>
              </w:r>
            </w:hyperlink>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3.3</w:t>
            </w:r>
          </w:p>
        </w:tc>
        <w:tc>
          <w:tcPr>
            <w:tcW w:w="5115" w:type="dxa"/>
          </w:tcPr>
          <w:p>
            <w:pPr>
              <w:pStyle w:val="0"/>
            </w:pPr>
            <w:r>
              <w:rPr>
                <w:sz w:val="20"/>
              </w:rPr>
              <w:t xml:space="preserve">Компенсационные и социальные выплаты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3.5</w:t>
            </w:r>
          </w:p>
        </w:tc>
        <w:tc>
          <w:tcPr>
            <w:tcW w:w="5115" w:type="dxa"/>
          </w:tcPr>
          <w:p>
            <w:pPr>
              <w:pStyle w:val="0"/>
            </w:pPr>
            <w:r>
              <w:rPr>
                <w:sz w:val="20"/>
              </w:rPr>
              <w:t xml:space="preserve">ИТОГО средств на оплату труда</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3.6</w:t>
            </w:r>
          </w:p>
        </w:tc>
        <w:tc>
          <w:tcPr>
            <w:tcW w:w="5115" w:type="dxa"/>
          </w:tcPr>
          <w:p>
            <w:pPr>
              <w:pStyle w:val="0"/>
            </w:pPr>
            <w:r>
              <w:rPr>
                <w:sz w:val="20"/>
              </w:rPr>
              <w:t xml:space="preserve">Страховые взносы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r>
          </w:p>
        </w:tc>
        <w:tc>
          <w:tcPr>
            <w:tcW w:w="5115" w:type="dxa"/>
          </w:tcPr>
          <w:p>
            <w:pPr>
              <w:pStyle w:val="0"/>
              <w:outlineLvl w:val="2"/>
            </w:pPr>
            <w:r>
              <w:rPr>
                <w:sz w:val="20"/>
              </w:rPr>
              <w:t xml:space="preserve">Ремонтный персонал</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1</w:t>
            </w:r>
          </w:p>
        </w:tc>
        <w:tc>
          <w:tcPr>
            <w:tcW w:w="5115" w:type="dxa"/>
          </w:tcPr>
          <w:p>
            <w:pPr>
              <w:pStyle w:val="0"/>
            </w:pPr>
            <w:r>
              <w:rPr>
                <w:sz w:val="20"/>
              </w:rPr>
              <w:t xml:space="preserve">Численность (среднесписочная), принятая для расчета</w:t>
            </w:r>
          </w:p>
        </w:tc>
        <w:tc>
          <w:tcPr>
            <w:tcW w:w="1155" w:type="dxa"/>
          </w:tcPr>
          <w:p>
            <w:pPr>
              <w:pStyle w:val="0"/>
              <w:jc w:val="center"/>
            </w:pPr>
            <w:r>
              <w:rPr>
                <w:sz w:val="20"/>
              </w:rPr>
              <w:t xml:space="preserve">чел.</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w:t>
            </w:r>
          </w:p>
        </w:tc>
        <w:tc>
          <w:tcPr>
            <w:tcW w:w="5115" w:type="dxa"/>
          </w:tcPr>
          <w:p>
            <w:pPr>
              <w:pStyle w:val="0"/>
            </w:pPr>
            <w:r>
              <w:rPr>
                <w:sz w:val="20"/>
              </w:rPr>
              <w:t xml:space="preserve">Средняя оплата труда</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2.1</w:t>
            </w:r>
          </w:p>
        </w:tc>
        <w:tc>
          <w:tcPr>
            <w:tcW w:w="5115" w:type="dxa"/>
          </w:tcPr>
          <w:p>
            <w:pPr>
              <w:pStyle w:val="0"/>
            </w:pPr>
            <w:r>
              <w:rPr>
                <w:sz w:val="20"/>
              </w:rPr>
              <w:t xml:space="preserve">Тарифная ставка рабочего 1 разряда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2.2</w:t>
            </w:r>
          </w:p>
        </w:tc>
        <w:tc>
          <w:tcPr>
            <w:tcW w:w="5115" w:type="dxa"/>
          </w:tcPr>
          <w:p>
            <w:pPr>
              <w:pStyle w:val="0"/>
            </w:pPr>
            <w:r>
              <w:rPr>
                <w:sz w:val="20"/>
              </w:rPr>
              <w:t xml:space="preserve">Индекс роста номинальной заработной платы</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2.3</w:t>
            </w:r>
          </w:p>
        </w:tc>
        <w:tc>
          <w:tcPr>
            <w:tcW w:w="5115" w:type="dxa"/>
          </w:tcPr>
          <w:p>
            <w:pPr>
              <w:pStyle w:val="0"/>
            </w:pPr>
            <w:r>
              <w:rPr>
                <w:sz w:val="20"/>
              </w:rPr>
              <w:t xml:space="preserve">Тарифная ставка рабочего 1 разряда с учетом дефлятора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2.4</w:t>
            </w:r>
          </w:p>
        </w:tc>
        <w:tc>
          <w:tcPr>
            <w:tcW w:w="5115" w:type="dxa"/>
          </w:tcPr>
          <w:p>
            <w:pPr>
              <w:pStyle w:val="0"/>
            </w:pPr>
            <w:r>
              <w:rPr>
                <w:sz w:val="20"/>
              </w:rPr>
              <w:t xml:space="preserve">Средний тарифный коэффициент</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2.5</w:t>
            </w:r>
          </w:p>
        </w:tc>
        <w:tc>
          <w:tcPr>
            <w:tcW w:w="5115" w:type="dxa"/>
          </w:tcPr>
          <w:p>
            <w:pPr>
              <w:pStyle w:val="0"/>
            </w:pPr>
            <w:r>
              <w:rPr>
                <w:sz w:val="20"/>
              </w:rPr>
              <w:t xml:space="preserve">Среднемесячная тарифная ставка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2.6</w:t>
            </w:r>
          </w:p>
        </w:tc>
        <w:tc>
          <w:tcPr>
            <w:tcW w:w="5115" w:type="dxa"/>
          </w:tcPr>
          <w:p>
            <w:pPr>
              <w:pStyle w:val="0"/>
            </w:pPr>
            <w:r>
              <w:rPr>
                <w:sz w:val="20"/>
              </w:rPr>
              <w:t xml:space="preserve">Минимальный размер оплаты труда по отраслевому тарифному соглашению</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2.7</w:t>
            </w:r>
          </w:p>
        </w:tc>
        <w:tc>
          <w:tcPr>
            <w:tcW w:w="5115" w:type="dxa"/>
          </w:tcPr>
          <w:p>
            <w:pPr>
              <w:pStyle w:val="0"/>
            </w:pPr>
            <w:r>
              <w:rPr>
                <w:sz w:val="20"/>
              </w:rPr>
              <w:t xml:space="preserve">Выплаты, связанные с режимом работы и условиями труда на 1 работника в месяц</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2.7.1</w:t>
            </w:r>
          </w:p>
        </w:tc>
        <w:tc>
          <w:tcPr>
            <w:tcW w:w="5115" w:type="dxa"/>
          </w:tcPr>
          <w:p>
            <w:pPr>
              <w:pStyle w:val="0"/>
              <w:ind w:left="283"/>
            </w:pPr>
            <w:r>
              <w:rPr>
                <w:sz w:val="20"/>
              </w:rPr>
              <w:t xml:space="preserve">процент</w:t>
            </w:r>
          </w:p>
        </w:tc>
        <w:tc>
          <w:tcPr>
            <w:tcW w:w="1155"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2.7.2</w:t>
            </w:r>
          </w:p>
        </w:tc>
        <w:tc>
          <w:tcPr>
            <w:tcW w:w="5115" w:type="dxa"/>
          </w:tcPr>
          <w:p>
            <w:pPr>
              <w:pStyle w:val="0"/>
              <w:ind w:left="283"/>
            </w:pPr>
            <w:r>
              <w:rPr>
                <w:sz w:val="20"/>
              </w:rPr>
              <w:t xml:space="preserve">сумма выплат</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2.8</w:t>
            </w:r>
          </w:p>
        </w:tc>
        <w:tc>
          <w:tcPr>
            <w:tcW w:w="5115" w:type="dxa"/>
          </w:tcPr>
          <w:p>
            <w:pPr>
              <w:pStyle w:val="0"/>
            </w:pPr>
            <w:r>
              <w:rPr>
                <w:sz w:val="20"/>
              </w:rPr>
              <w:t xml:space="preserve">Текущее премирование</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2.8.1</w:t>
            </w:r>
          </w:p>
        </w:tc>
        <w:tc>
          <w:tcPr>
            <w:tcW w:w="5115" w:type="dxa"/>
          </w:tcPr>
          <w:p>
            <w:pPr>
              <w:pStyle w:val="0"/>
              <w:ind w:left="283"/>
            </w:pPr>
            <w:r>
              <w:rPr>
                <w:sz w:val="20"/>
              </w:rPr>
              <w:t xml:space="preserve">процент</w:t>
            </w:r>
          </w:p>
        </w:tc>
        <w:tc>
          <w:tcPr>
            <w:tcW w:w="1155"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2.8.2</w:t>
            </w:r>
          </w:p>
        </w:tc>
        <w:tc>
          <w:tcPr>
            <w:tcW w:w="5115" w:type="dxa"/>
          </w:tcPr>
          <w:p>
            <w:pPr>
              <w:pStyle w:val="0"/>
              <w:ind w:left="283"/>
            </w:pPr>
            <w:r>
              <w:rPr>
                <w:sz w:val="20"/>
              </w:rPr>
              <w:t xml:space="preserve">сумма выплат</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w:t>
            </w:r>
          </w:p>
        </w:tc>
        <w:tc>
          <w:tcPr>
            <w:tcW w:w="5115" w:type="dxa"/>
          </w:tcPr>
          <w:p>
            <w:pPr>
              <w:pStyle w:val="0"/>
            </w:pPr>
            <w:r>
              <w:rPr>
                <w:sz w:val="20"/>
              </w:rPr>
              <w:t xml:space="preserve">Доп. премирование, включая вознаграждение за выслугу лет</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2.9.1</w:t>
            </w:r>
          </w:p>
        </w:tc>
        <w:tc>
          <w:tcPr>
            <w:tcW w:w="5115" w:type="dxa"/>
          </w:tcPr>
          <w:p>
            <w:pPr>
              <w:pStyle w:val="0"/>
              <w:ind w:left="283"/>
            </w:pPr>
            <w:r>
              <w:rPr>
                <w:sz w:val="20"/>
              </w:rPr>
              <w:t xml:space="preserve">процент</w:t>
            </w:r>
          </w:p>
        </w:tc>
        <w:tc>
          <w:tcPr>
            <w:tcW w:w="1155"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2.9.2</w:t>
            </w:r>
          </w:p>
        </w:tc>
        <w:tc>
          <w:tcPr>
            <w:tcW w:w="5115" w:type="dxa"/>
          </w:tcPr>
          <w:p>
            <w:pPr>
              <w:pStyle w:val="0"/>
              <w:ind w:left="283"/>
            </w:pPr>
            <w:r>
              <w:rPr>
                <w:sz w:val="20"/>
              </w:rPr>
              <w:t xml:space="preserve">сумма выплат</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2.9.3</w:t>
            </w:r>
          </w:p>
        </w:tc>
        <w:tc>
          <w:tcPr>
            <w:tcW w:w="5115" w:type="dxa"/>
          </w:tcPr>
          <w:p>
            <w:pPr>
              <w:pStyle w:val="0"/>
              <w:ind w:left="283"/>
            </w:pPr>
            <w:r>
              <w:rPr>
                <w:sz w:val="20"/>
              </w:rPr>
              <w:t xml:space="preserve">прочее</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2.9.4</w:t>
            </w:r>
          </w:p>
        </w:tc>
        <w:tc>
          <w:tcPr>
            <w:tcW w:w="5115" w:type="dxa"/>
          </w:tcPr>
          <w:p>
            <w:pPr>
              <w:pStyle w:val="0"/>
              <w:ind w:left="283"/>
            </w:pPr>
            <w:r>
              <w:rPr>
                <w:sz w:val="20"/>
              </w:rPr>
              <w:t xml:space="preserve">северные надбавки</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2.10</w:t>
            </w:r>
          </w:p>
        </w:tc>
        <w:tc>
          <w:tcPr>
            <w:tcW w:w="5115" w:type="dxa"/>
          </w:tcPr>
          <w:p>
            <w:pPr>
              <w:pStyle w:val="0"/>
            </w:pPr>
            <w:r>
              <w:rPr>
                <w:sz w:val="20"/>
              </w:rPr>
              <w:t xml:space="preserve">ИТОГО среднемесячная оплата труда на 1 работника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2.11</w:t>
            </w:r>
          </w:p>
        </w:tc>
        <w:tc>
          <w:tcPr>
            <w:tcW w:w="5115" w:type="dxa"/>
          </w:tcPr>
          <w:p>
            <w:pPr>
              <w:pStyle w:val="0"/>
            </w:pPr>
            <w:r>
              <w:rPr>
                <w:sz w:val="20"/>
              </w:rPr>
              <w:t xml:space="preserve">Фонд оплаты труда</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w:t>
            </w:r>
          </w:p>
        </w:tc>
        <w:tc>
          <w:tcPr>
            <w:tcW w:w="5115" w:type="dxa"/>
          </w:tcPr>
          <w:p>
            <w:pPr>
              <w:pStyle w:val="0"/>
            </w:pPr>
            <w:r>
              <w:rPr>
                <w:sz w:val="20"/>
              </w:rPr>
              <w:t xml:space="preserve">Расчет средств на оплату труда (прибыль)</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3.1</w:t>
            </w:r>
          </w:p>
        </w:tc>
        <w:tc>
          <w:tcPr>
            <w:tcW w:w="5115" w:type="dxa"/>
          </w:tcPr>
          <w:p>
            <w:pPr>
              <w:pStyle w:val="0"/>
            </w:pPr>
            <w:r>
              <w:rPr>
                <w:sz w:val="20"/>
              </w:rPr>
              <w:t xml:space="preserve">Льготный проезд к месту отдыха</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3.2</w:t>
            </w:r>
          </w:p>
        </w:tc>
        <w:tc>
          <w:tcPr>
            <w:tcW w:w="5115" w:type="dxa"/>
          </w:tcPr>
          <w:p>
            <w:pPr>
              <w:pStyle w:val="0"/>
            </w:pPr>
            <w:r>
              <w:rPr>
                <w:sz w:val="20"/>
              </w:rPr>
              <w:t xml:space="preserve">По </w:t>
            </w:r>
            <w:hyperlink w:history="0" r:id="rId494" w:tooltip="Постановление Правительства РФ от 03.11.1994 N 1206 (ред. от 29.11.2018) &quot;Об утверждении Порядка назначения и выплаты ежемесячных компенсационных выплат отдельным категориям граждан&quot; ------------ Утратил силу или отменен {КонсультантПлюс}">
              <w:r>
                <w:rPr>
                  <w:sz w:val="20"/>
                  <w:color w:val="0000ff"/>
                </w:rPr>
                <w:t xml:space="preserve">постановлению</w:t>
              </w:r>
            </w:hyperlink>
            <w:r>
              <w:rPr>
                <w:sz w:val="20"/>
              </w:rPr>
              <w:t xml:space="preserve"> Правительства Российской Федерации от 03.11.1994 N 1206 </w:t>
            </w:r>
            <w:hyperlink w:history="0" w:anchor="P4836" w:tooltip="&lt;*&gt; Постановление Правительства Российской Федерации от 3 ноября 1994 г. N 1206 (Собрание законодательства Российской Федерации, 1994, N 29, ст. 3035; 2003, N 33, ст. 3269; 2006, N 33, ст. 3633; 2012, N 22, ст. 2867; 2013, N 13, ст. 1559; 2013, N 22, ст. 2809) (далее - Постановление Правительства Российской Федерации от 03.11.1994 N 1206).">
              <w:r>
                <w:rPr>
                  <w:sz w:val="20"/>
                  <w:color w:val="0000ff"/>
                </w:rPr>
                <w:t xml:space="preserve">&lt;*&gt;</w:t>
              </w:r>
            </w:hyperlink>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3.3</w:t>
            </w:r>
          </w:p>
        </w:tc>
        <w:tc>
          <w:tcPr>
            <w:tcW w:w="5115" w:type="dxa"/>
          </w:tcPr>
          <w:p>
            <w:pPr>
              <w:pStyle w:val="0"/>
            </w:pPr>
            <w:r>
              <w:rPr>
                <w:sz w:val="20"/>
              </w:rPr>
              <w:t xml:space="preserve">Компенсационные и социальные выплаты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3.5</w:t>
            </w:r>
          </w:p>
        </w:tc>
        <w:tc>
          <w:tcPr>
            <w:tcW w:w="5115" w:type="dxa"/>
          </w:tcPr>
          <w:p>
            <w:pPr>
              <w:pStyle w:val="0"/>
            </w:pPr>
            <w:r>
              <w:rPr>
                <w:sz w:val="20"/>
              </w:rPr>
              <w:t xml:space="preserve">ИТОГО средств на оплату труда ремонтного персонала</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3.6</w:t>
            </w:r>
          </w:p>
        </w:tc>
        <w:tc>
          <w:tcPr>
            <w:tcW w:w="5115" w:type="dxa"/>
          </w:tcPr>
          <w:p>
            <w:pPr>
              <w:pStyle w:val="0"/>
            </w:pPr>
            <w:r>
              <w:rPr>
                <w:sz w:val="20"/>
              </w:rPr>
              <w:t xml:space="preserve">Страховые взносы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r>
          </w:p>
        </w:tc>
        <w:tc>
          <w:tcPr>
            <w:tcW w:w="5115" w:type="dxa"/>
          </w:tcPr>
          <w:p>
            <w:pPr>
              <w:pStyle w:val="0"/>
              <w:outlineLvl w:val="2"/>
            </w:pPr>
            <w:r>
              <w:rPr>
                <w:sz w:val="20"/>
              </w:rPr>
              <w:t xml:space="preserve">Административный персонал</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1</w:t>
            </w:r>
          </w:p>
        </w:tc>
        <w:tc>
          <w:tcPr>
            <w:tcW w:w="5115" w:type="dxa"/>
          </w:tcPr>
          <w:p>
            <w:pPr>
              <w:pStyle w:val="0"/>
            </w:pPr>
            <w:r>
              <w:rPr>
                <w:sz w:val="20"/>
              </w:rPr>
              <w:t xml:space="preserve">Численность (среднесписочная), принятая для расчета</w:t>
            </w:r>
          </w:p>
        </w:tc>
        <w:tc>
          <w:tcPr>
            <w:tcW w:w="1155" w:type="dxa"/>
          </w:tcPr>
          <w:p>
            <w:pPr>
              <w:pStyle w:val="0"/>
              <w:jc w:val="center"/>
            </w:pPr>
            <w:r>
              <w:rPr>
                <w:sz w:val="20"/>
              </w:rPr>
              <w:t xml:space="preserve">чел.</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w:t>
            </w:r>
          </w:p>
        </w:tc>
        <w:tc>
          <w:tcPr>
            <w:tcW w:w="5115" w:type="dxa"/>
          </w:tcPr>
          <w:p>
            <w:pPr>
              <w:pStyle w:val="0"/>
            </w:pPr>
            <w:r>
              <w:rPr>
                <w:sz w:val="20"/>
              </w:rPr>
              <w:t xml:space="preserve">Средняя оплата труда</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2.1</w:t>
            </w:r>
          </w:p>
        </w:tc>
        <w:tc>
          <w:tcPr>
            <w:tcW w:w="5115" w:type="dxa"/>
          </w:tcPr>
          <w:p>
            <w:pPr>
              <w:pStyle w:val="0"/>
            </w:pPr>
            <w:r>
              <w:rPr>
                <w:sz w:val="20"/>
              </w:rPr>
              <w:t xml:space="preserve">Тарифная ставка рабочего 1 разряда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2.2</w:t>
            </w:r>
          </w:p>
        </w:tc>
        <w:tc>
          <w:tcPr>
            <w:tcW w:w="5115" w:type="dxa"/>
          </w:tcPr>
          <w:p>
            <w:pPr>
              <w:pStyle w:val="0"/>
            </w:pPr>
            <w:r>
              <w:rPr>
                <w:sz w:val="20"/>
              </w:rPr>
              <w:t xml:space="preserve">Индекс роста номинальной заработной платы</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2.3</w:t>
            </w:r>
          </w:p>
        </w:tc>
        <w:tc>
          <w:tcPr>
            <w:tcW w:w="5115" w:type="dxa"/>
          </w:tcPr>
          <w:p>
            <w:pPr>
              <w:pStyle w:val="0"/>
            </w:pPr>
            <w:r>
              <w:rPr>
                <w:sz w:val="20"/>
              </w:rPr>
              <w:t xml:space="preserve">Тарифная ставка рабочего 1 разряда с учетом дефлятора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2.4</w:t>
            </w:r>
          </w:p>
        </w:tc>
        <w:tc>
          <w:tcPr>
            <w:tcW w:w="5115" w:type="dxa"/>
          </w:tcPr>
          <w:p>
            <w:pPr>
              <w:pStyle w:val="0"/>
            </w:pPr>
            <w:r>
              <w:rPr>
                <w:sz w:val="20"/>
              </w:rPr>
              <w:t xml:space="preserve">Средний тарифный коэффициент</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2.5</w:t>
            </w:r>
          </w:p>
        </w:tc>
        <w:tc>
          <w:tcPr>
            <w:tcW w:w="5115" w:type="dxa"/>
          </w:tcPr>
          <w:p>
            <w:pPr>
              <w:pStyle w:val="0"/>
            </w:pPr>
            <w:r>
              <w:rPr>
                <w:sz w:val="20"/>
              </w:rPr>
              <w:t xml:space="preserve">Среднемесячная тарифная ставка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2.6</w:t>
            </w:r>
          </w:p>
        </w:tc>
        <w:tc>
          <w:tcPr>
            <w:tcW w:w="5115" w:type="dxa"/>
          </w:tcPr>
          <w:p>
            <w:pPr>
              <w:pStyle w:val="0"/>
            </w:pPr>
            <w:r>
              <w:rPr>
                <w:sz w:val="20"/>
              </w:rPr>
              <w:t xml:space="preserve">Минимальный размер оплаты труда по ОТС</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2.7</w:t>
            </w:r>
          </w:p>
        </w:tc>
        <w:tc>
          <w:tcPr>
            <w:tcW w:w="5115" w:type="dxa"/>
          </w:tcPr>
          <w:p>
            <w:pPr>
              <w:pStyle w:val="0"/>
            </w:pPr>
            <w:r>
              <w:rPr>
                <w:sz w:val="20"/>
              </w:rPr>
              <w:t xml:space="preserve">Выплаты, связанные с режимом работы и условиями труда на 1 работника в месяц</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2.7.1</w:t>
            </w:r>
          </w:p>
        </w:tc>
        <w:tc>
          <w:tcPr>
            <w:tcW w:w="5115" w:type="dxa"/>
          </w:tcPr>
          <w:p>
            <w:pPr>
              <w:pStyle w:val="0"/>
              <w:ind w:left="283"/>
            </w:pPr>
            <w:r>
              <w:rPr>
                <w:sz w:val="20"/>
              </w:rPr>
              <w:t xml:space="preserve">процент</w:t>
            </w:r>
          </w:p>
        </w:tc>
        <w:tc>
          <w:tcPr>
            <w:tcW w:w="1155"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2.7.2</w:t>
            </w:r>
          </w:p>
        </w:tc>
        <w:tc>
          <w:tcPr>
            <w:tcW w:w="5115" w:type="dxa"/>
          </w:tcPr>
          <w:p>
            <w:pPr>
              <w:pStyle w:val="0"/>
              <w:ind w:left="283"/>
            </w:pPr>
            <w:r>
              <w:rPr>
                <w:sz w:val="20"/>
              </w:rPr>
              <w:t xml:space="preserve">сумма выплат</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2.8</w:t>
            </w:r>
          </w:p>
        </w:tc>
        <w:tc>
          <w:tcPr>
            <w:tcW w:w="5115" w:type="dxa"/>
          </w:tcPr>
          <w:p>
            <w:pPr>
              <w:pStyle w:val="0"/>
            </w:pPr>
            <w:r>
              <w:rPr>
                <w:sz w:val="20"/>
              </w:rPr>
              <w:t xml:space="preserve">Текущее премирование</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2.8.1</w:t>
            </w:r>
          </w:p>
        </w:tc>
        <w:tc>
          <w:tcPr>
            <w:tcW w:w="5115" w:type="dxa"/>
          </w:tcPr>
          <w:p>
            <w:pPr>
              <w:pStyle w:val="0"/>
              <w:ind w:left="283"/>
            </w:pPr>
            <w:r>
              <w:rPr>
                <w:sz w:val="20"/>
              </w:rPr>
              <w:t xml:space="preserve">процент</w:t>
            </w:r>
          </w:p>
        </w:tc>
        <w:tc>
          <w:tcPr>
            <w:tcW w:w="1155"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2.8.2</w:t>
            </w:r>
          </w:p>
        </w:tc>
        <w:tc>
          <w:tcPr>
            <w:tcW w:w="5115" w:type="dxa"/>
          </w:tcPr>
          <w:p>
            <w:pPr>
              <w:pStyle w:val="0"/>
              <w:ind w:left="283"/>
            </w:pPr>
            <w:r>
              <w:rPr>
                <w:sz w:val="20"/>
              </w:rPr>
              <w:t xml:space="preserve">Сумма выплат</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w:t>
            </w:r>
          </w:p>
        </w:tc>
        <w:tc>
          <w:tcPr>
            <w:tcW w:w="5115" w:type="dxa"/>
          </w:tcPr>
          <w:p>
            <w:pPr>
              <w:pStyle w:val="0"/>
            </w:pPr>
            <w:r>
              <w:rPr>
                <w:sz w:val="20"/>
              </w:rPr>
              <w:t xml:space="preserve">Доп. премирование, включая вознаграждение за выслугу лет</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2.9.1</w:t>
            </w:r>
          </w:p>
        </w:tc>
        <w:tc>
          <w:tcPr>
            <w:tcW w:w="5115" w:type="dxa"/>
          </w:tcPr>
          <w:p>
            <w:pPr>
              <w:pStyle w:val="0"/>
              <w:ind w:left="283"/>
            </w:pPr>
            <w:r>
              <w:rPr>
                <w:sz w:val="20"/>
              </w:rPr>
              <w:t xml:space="preserve">процент</w:t>
            </w:r>
          </w:p>
        </w:tc>
        <w:tc>
          <w:tcPr>
            <w:tcW w:w="1155"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2.9.2</w:t>
            </w:r>
          </w:p>
        </w:tc>
        <w:tc>
          <w:tcPr>
            <w:tcW w:w="5115" w:type="dxa"/>
          </w:tcPr>
          <w:p>
            <w:pPr>
              <w:pStyle w:val="0"/>
              <w:ind w:left="283"/>
            </w:pPr>
            <w:r>
              <w:rPr>
                <w:sz w:val="20"/>
              </w:rPr>
              <w:t xml:space="preserve">сумма выплат</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2.9.3</w:t>
            </w:r>
          </w:p>
        </w:tc>
        <w:tc>
          <w:tcPr>
            <w:tcW w:w="5115" w:type="dxa"/>
          </w:tcPr>
          <w:p>
            <w:pPr>
              <w:pStyle w:val="0"/>
              <w:ind w:left="283"/>
            </w:pPr>
            <w:r>
              <w:rPr>
                <w:sz w:val="20"/>
              </w:rPr>
              <w:t xml:space="preserve">прочее</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2.9.4</w:t>
            </w:r>
          </w:p>
        </w:tc>
        <w:tc>
          <w:tcPr>
            <w:tcW w:w="5115" w:type="dxa"/>
          </w:tcPr>
          <w:p>
            <w:pPr>
              <w:pStyle w:val="0"/>
              <w:ind w:left="283"/>
            </w:pPr>
            <w:r>
              <w:rPr>
                <w:sz w:val="20"/>
              </w:rPr>
              <w:t xml:space="preserve">северные надбавки</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2.10</w:t>
            </w:r>
          </w:p>
        </w:tc>
        <w:tc>
          <w:tcPr>
            <w:tcW w:w="5115" w:type="dxa"/>
          </w:tcPr>
          <w:p>
            <w:pPr>
              <w:pStyle w:val="0"/>
            </w:pPr>
            <w:r>
              <w:rPr>
                <w:sz w:val="20"/>
              </w:rPr>
              <w:t xml:space="preserve">ИТОГО среднемесячная оплата труда на 1 работника</w:t>
            </w:r>
          </w:p>
        </w:tc>
        <w:tc>
          <w:tcPr>
            <w:tcW w:w="1155" w:type="dxa"/>
          </w:tcPr>
          <w:p>
            <w:pPr>
              <w:pStyle w:val="0"/>
              <w:jc w:val="center"/>
            </w:pPr>
            <w:r>
              <w:rPr>
                <w:sz w:val="20"/>
              </w:rPr>
              <w:t xml:space="preserve">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2.11</w:t>
            </w:r>
          </w:p>
        </w:tc>
        <w:tc>
          <w:tcPr>
            <w:tcW w:w="5115" w:type="dxa"/>
          </w:tcPr>
          <w:p>
            <w:pPr>
              <w:pStyle w:val="0"/>
            </w:pPr>
            <w:r>
              <w:rPr>
                <w:sz w:val="20"/>
              </w:rPr>
              <w:t xml:space="preserve">Фонд оплаты труда</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w:t>
            </w:r>
          </w:p>
        </w:tc>
        <w:tc>
          <w:tcPr>
            <w:tcW w:w="5115" w:type="dxa"/>
          </w:tcPr>
          <w:p>
            <w:pPr>
              <w:pStyle w:val="0"/>
            </w:pPr>
            <w:r>
              <w:rPr>
                <w:sz w:val="20"/>
              </w:rPr>
              <w:t xml:space="preserve">Расчет средств на оплату труда (прибыль)</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3.1</w:t>
            </w:r>
          </w:p>
        </w:tc>
        <w:tc>
          <w:tcPr>
            <w:tcW w:w="5115" w:type="dxa"/>
          </w:tcPr>
          <w:p>
            <w:pPr>
              <w:pStyle w:val="0"/>
            </w:pPr>
            <w:r>
              <w:rPr>
                <w:sz w:val="20"/>
              </w:rPr>
              <w:t xml:space="preserve">Льготный проезд к месту отдыха</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3.2</w:t>
            </w:r>
          </w:p>
        </w:tc>
        <w:tc>
          <w:tcPr>
            <w:tcW w:w="5115" w:type="dxa"/>
          </w:tcPr>
          <w:p>
            <w:pPr>
              <w:pStyle w:val="0"/>
            </w:pPr>
            <w:r>
              <w:rPr>
                <w:sz w:val="20"/>
              </w:rPr>
              <w:t xml:space="preserve">По </w:t>
            </w:r>
            <w:hyperlink w:history="0" r:id="rId495" w:tooltip="Постановление Правительства РФ от 03.11.1994 N 1206 (ред. от 29.11.2018) &quot;Об утверждении Порядка назначения и выплаты ежемесячных компенсационных выплат отдельным категориям граждан&quot; ------------ Утратил силу или отменен {КонсультантПлюс}">
              <w:r>
                <w:rPr>
                  <w:sz w:val="20"/>
                  <w:color w:val="0000ff"/>
                </w:rPr>
                <w:t xml:space="preserve">постановлению</w:t>
              </w:r>
            </w:hyperlink>
            <w:r>
              <w:rPr>
                <w:sz w:val="20"/>
              </w:rPr>
              <w:t xml:space="preserve"> Правительства Российской Федерации от 03.11.1994 N 1206 </w:t>
            </w:r>
            <w:hyperlink w:history="0" w:anchor="P4836" w:tooltip="&lt;*&gt; Постановление Правительства Российской Федерации от 3 ноября 1994 г. N 1206 (Собрание законодательства Российской Федерации, 1994, N 29, ст. 3035; 2003, N 33, ст. 3269; 2006, N 33, ст. 3633; 2012, N 22, ст. 2867; 2013, N 13, ст. 1559; 2013, N 22, ст. 2809) (далее - Постановление Правительства Российской Федерации от 03.11.1994 N 1206).">
              <w:r>
                <w:rPr>
                  <w:sz w:val="20"/>
                  <w:color w:val="0000ff"/>
                </w:rPr>
                <w:t xml:space="preserve">&lt;*&gt;</w:t>
              </w:r>
            </w:hyperlink>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3.3</w:t>
            </w:r>
          </w:p>
        </w:tc>
        <w:tc>
          <w:tcPr>
            <w:tcW w:w="5115" w:type="dxa"/>
          </w:tcPr>
          <w:p>
            <w:pPr>
              <w:pStyle w:val="0"/>
            </w:pPr>
            <w:r>
              <w:rPr>
                <w:sz w:val="20"/>
              </w:rPr>
              <w:t xml:space="preserve">Компенсационные и социальные выплаты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3.5</w:t>
            </w:r>
          </w:p>
        </w:tc>
        <w:tc>
          <w:tcPr>
            <w:tcW w:w="5115" w:type="dxa"/>
          </w:tcPr>
          <w:p>
            <w:pPr>
              <w:pStyle w:val="0"/>
            </w:pPr>
            <w:r>
              <w:rPr>
                <w:sz w:val="20"/>
              </w:rPr>
              <w:t xml:space="preserve">ИТОГО средств на оплату труда административного персонала</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r>
        <w:tc>
          <w:tcPr>
            <w:tcW w:w="990" w:type="dxa"/>
          </w:tcPr>
          <w:p>
            <w:pPr>
              <w:pStyle w:val="0"/>
              <w:jc w:val="center"/>
            </w:pPr>
            <w:r>
              <w:rPr>
                <w:sz w:val="20"/>
              </w:rPr>
              <w:t xml:space="preserve">3.6</w:t>
            </w:r>
          </w:p>
        </w:tc>
        <w:tc>
          <w:tcPr>
            <w:tcW w:w="5115" w:type="dxa"/>
          </w:tcPr>
          <w:p>
            <w:pPr>
              <w:pStyle w:val="0"/>
            </w:pPr>
            <w:r>
              <w:rPr>
                <w:sz w:val="20"/>
              </w:rPr>
              <w:t xml:space="preserve">Страховые взносы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1650" w:type="dxa"/>
          </w:tcPr>
          <w:p>
            <w:pPr>
              <w:pStyle w:val="0"/>
              <w:jc w:val="center"/>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836" w:name="P4836"/>
    <w:bookmarkEnd w:id="4836"/>
    <w:p>
      <w:pPr>
        <w:pStyle w:val="0"/>
        <w:spacing w:before="200" w:lineRule="auto"/>
        <w:ind w:firstLine="540"/>
        <w:jc w:val="both"/>
      </w:pPr>
      <w:r>
        <w:rPr>
          <w:sz w:val="20"/>
        </w:rPr>
        <w:t xml:space="preserve">&lt;*&gt; </w:t>
      </w:r>
      <w:hyperlink w:history="0" r:id="rId496" w:tooltip="Постановление Правительства РФ от 03.11.1994 N 1206 (ред. от 29.11.2018) &quot;Об утверждении Порядка назначения и выплаты ежемесячных компенсационных выплат отдельным категориям граждан&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ноября 1994 г. N 1206 (Собрание законодательства Российской Федерации, 1994, N 29, ст. 3035; 2003, N 33, ст. 3269; 2006, N 33, ст. 3633; 2012, N 22, ст. 2867; 2013, N 13, ст. 1559; 2013, N 22, ст. 2809) (далее - Постановление Правительства Российской Федерации от 03.11.1994 N 1206).</w:t>
      </w:r>
    </w:p>
    <w:p>
      <w:pPr>
        <w:pStyle w:val="0"/>
        <w:jc w:val="both"/>
      </w:pPr>
      <w:r>
        <w:rPr>
          <w:sz w:val="20"/>
        </w:rPr>
      </w:r>
    </w:p>
    <w:p>
      <w:pPr>
        <w:pStyle w:val="0"/>
        <w:ind w:firstLine="540"/>
        <w:jc w:val="both"/>
      </w:pPr>
      <w:r>
        <w:rPr>
          <w:sz w:val="20"/>
        </w:rPr>
        <w:t xml:space="preserve">Примечание: Заполняется на основании данных, определенных в соответствии с </w:t>
      </w:r>
      <w:hyperlink w:history="0" w:anchor="P125" w:tooltip="16.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
        <w:r>
          <w:rPr>
            <w:sz w:val="20"/>
            <w:color w:val="0000ff"/>
          </w:rPr>
          <w:t xml:space="preserve">пунктом 16</w:t>
        </w:r>
      </w:hyperlink>
      <w:r>
        <w:rPr>
          <w:sz w:val="20"/>
        </w:rPr>
        <w:t xml:space="preserve"> настоящих Методических указаний.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2.2.1</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bookmarkStart w:id="4849" w:name="P4849"/>
    <w:bookmarkEnd w:id="4849"/>
    <w:p>
      <w:pPr>
        <w:pStyle w:val="0"/>
        <w:jc w:val="center"/>
      </w:pPr>
      <w:r>
        <w:rPr>
          <w:sz w:val="20"/>
        </w:rPr>
        <w:t xml:space="preserve">Расходы</w:t>
      </w:r>
    </w:p>
    <w:p>
      <w:pPr>
        <w:pStyle w:val="0"/>
        <w:jc w:val="center"/>
      </w:pPr>
      <w:r>
        <w:rPr>
          <w:sz w:val="20"/>
        </w:rPr>
        <w:t xml:space="preserve">на оплату труда в разрезе регулируемых видов 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4455"/>
        <w:gridCol w:w="1650"/>
        <w:gridCol w:w="990"/>
        <w:gridCol w:w="825"/>
        <w:gridCol w:w="825"/>
        <w:gridCol w:w="990"/>
        <w:gridCol w:w="1650"/>
      </w:tblGrid>
      <w:tr>
        <w:tc>
          <w:tcPr>
            <w:tcW w:w="825" w:type="dxa"/>
            <w:vMerge w:val="restart"/>
          </w:tcPr>
          <w:p>
            <w:pPr>
              <w:pStyle w:val="0"/>
              <w:jc w:val="center"/>
            </w:pPr>
            <w:r>
              <w:rPr>
                <w:sz w:val="20"/>
              </w:rPr>
              <w:t xml:space="preserve">N п/п</w:t>
            </w:r>
          </w:p>
        </w:tc>
        <w:tc>
          <w:tcPr>
            <w:tcW w:w="4455" w:type="dxa"/>
            <w:vMerge w:val="restart"/>
          </w:tcPr>
          <w:p>
            <w:pPr>
              <w:pStyle w:val="0"/>
              <w:jc w:val="center"/>
            </w:pPr>
            <w:r>
              <w:rPr>
                <w:sz w:val="20"/>
              </w:rPr>
              <w:t xml:space="preserve">Наименование</w:t>
            </w:r>
          </w:p>
        </w:tc>
        <w:tc>
          <w:tcPr>
            <w:tcW w:w="1650" w:type="dxa"/>
            <w:vMerge w:val="restart"/>
          </w:tcPr>
          <w:p>
            <w:pPr>
              <w:pStyle w:val="0"/>
              <w:jc w:val="center"/>
            </w:pPr>
            <w:r>
              <w:rPr>
                <w:sz w:val="20"/>
              </w:rPr>
              <w:t xml:space="preserve">Единица измерения</w:t>
            </w:r>
          </w:p>
        </w:tc>
        <w:tc>
          <w:tcPr>
            <w:gridSpan w:val="2"/>
            <w:tcW w:w="1815" w:type="dxa"/>
          </w:tcPr>
          <w:p>
            <w:pPr>
              <w:pStyle w:val="0"/>
              <w:jc w:val="center"/>
            </w:pPr>
            <w:r>
              <w:rPr>
                <w:sz w:val="20"/>
              </w:rPr>
              <w:t xml:space="preserve">Истекший год (i-2)</w:t>
            </w:r>
          </w:p>
        </w:tc>
        <w:tc>
          <w:tcPr>
            <w:gridSpan w:val="2"/>
            <w:tcW w:w="1815" w:type="dxa"/>
          </w:tcPr>
          <w:p>
            <w:pPr>
              <w:pStyle w:val="0"/>
              <w:jc w:val="center"/>
            </w:pPr>
            <w:r>
              <w:rPr>
                <w:sz w:val="20"/>
              </w:rPr>
              <w:t xml:space="preserve">Текущий год (i-1)</w:t>
            </w:r>
          </w:p>
        </w:tc>
        <w:tc>
          <w:tcPr>
            <w:tcW w:w="1650"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990" w:type="dxa"/>
          </w:tcPr>
          <w:p>
            <w:pPr>
              <w:pStyle w:val="0"/>
              <w:jc w:val="center"/>
            </w:pPr>
            <w:r>
              <w:rPr>
                <w:sz w:val="20"/>
              </w:rPr>
              <w:t xml:space="preserve">план</w:t>
            </w:r>
          </w:p>
        </w:tc>
        <w:tc>
          <w:tcPr>
            <w:tcW w:w="825" w:type="dxa"/>
          </w:tcPr>
          <w:p>
            <w:pPr>
              <w:pStyle w:val="0"/>
              <w:jc w:val="center"/>
            </w:pPr>
            <w:r>
              <w:rPr>
                <w:sz w:val="20"/>
              </w:rPr>
              <w:t xml:space="preserve">факт</w:t>
            </w:r>
          </w:p>
        </w:tc>
        <w:tc>
          <w:tcPr>
            <w:tcW w:w="825" w:type="dxa"/>
          </w:tcPr>
          <w:p>
            <w:pPr>
              <w:pStyle w:val="0"/>
              <w:jc w:val="center"/>
            </w:pPr>
            <w:r>
              <w:rPr>
                <w:sz w:val="20"/>
              </w:rPr>
              <w:t xml:space="preserve">план</w:t>
            </w:r>
          </w:p>
        </w:tc>
        <w:tc>
          <w:tcPr>
            <w:tcW w:w="990" w:type="dxa"/>
          </w:tcPr>
          <w:p>
            <w:pPr>
              <w:pStyle w:val="0"/>
              <w:jc w:val="center"/>
            </w:pPr>
            <w:r>
              <w:rPr>
                <w:sz w:val="20"/>
              </w:rPr>
              <w:t xml:space="preserve">ожид</w:t>
            </w:r>
          </w:p>
        </w:tc>
        <w:tc>
          <w:tcPr>
            <w:vMerge w:val="continue"/>
          </w:tcPr>
          <w:p/>
        </w:tc>
      </w:tr>
      <w:tr>
        <w:tc>
          <w:tcPr>
            <w:tcW w:w="825" w:type="dxa"/>
          </w:tcPr>
          <w:p>
            <w:pPr>
              <w:pStyle w:val="0"/>
              <w:jc w:val="center"/>
            </w:pPr>
            <w:r>
              <w:rPr>
                <w:sz w:val="20"/>
              </w:rPr>
              <w:t xml:space="preserve">1</w:t>
            </w:r>
          </w:p>
        </w:tc>
        <w:tc>
          <w:tcPr>
            <w:tcW w:w="4455" w:type="dxa"/>
          </w:tcPr>
          <w:p>
            <w:pPr>
              <w:pStyle w:val="0"/>
              <w:jc w:val="center"/>
            </w:pPr>
            <w:r>
              <w:rPr>
                <w:sz w:val="20"/>
              </w:rPr>
              <w:t xml:space="preserve">2</w:t>
            </w:r>
          </w:p>
        </w:tc>
        <w:tc>
          <w:tcPr>
            <w:tcW w:w="1650" w:type="dxa"/>
          </w:tcPr>
          <w:p>
            <w:pPr>
              <w:pStyle w:val="0"/>
              <w:jc w:val="center"/>
            </w:pPr>
            <w:r>
              <w:rPr>
                <w:sz w:val="20"/>
              </w:rPr>
              <w:t xml:space="preserve">3</w:t>
            </w:r>
          </w:p>
        </w:tc>
        <w:tc>
          <w:tcPr>
            <w:tcW w:w="990" w:type="dxa"/>
          </w:tcPr>
          <w:p>
            <w:pPr>
              <w:pStyle w:val="0"/>
              <w:jc w:val="center"/>
            </w:pPr>
            <w:r>
              <w:rPr>
                <w:sz w:val="20"/>
              </w:rPr>
              <w:t xml:space="preserve">4</w:t>
            </w:r>
          </w:p>
        </w:tc>
        <w:tc>
          <w:tcPr>
            <w:tcW w:w="825" w:type="dxa"/>
          </w:tcPr>
          <w:p>
            <w:pPr>
              <w:pStyle w:val="0"/>
              <w:jc w:val="center"/>
            </w:pPr>
            <w:r>
              <w:rPr>
                <w:sz w:val="20"/>
              </w:rPr>
              <w:t xml:space="preserve">5</w:t>
            </w:r>
          </w:p>
        </w:tc>
        <w:tc>
          <w:tcPr>
            <w:tcW w:w="825" w:type="dxa"/>
          </w:tcPr>
          <w:p>
            <w:pPr>
              <w:pStyle w:val="0"/>
              <w:jc w:val="center"/>
            </w:pPr>
            <w:r>
              <w:rPr>
                <w:sz w:val="20"/>
              </w:rPr>
              <w:t xml:space="preserve">6</w:t>
            </w:r>
          </w:p>
        </w:tc>
        <w:tc>
          <w:tcPr>
            <w:tcW w:w="990" w:type="dxa"/>
          </w:tcPr>
          <w:p>
            <w:pPr>
              <w:pStyle w:val="0"/>
              <w:jc w:val="center"/>
            </w:pPr>
            <w:r>
              <w:rPr>
                <w:sz w:val="20"/>
              </w:rPr>
              <w:t xml:space="preserve">7</w:t>
            </w:r>
          </w:p>
        </w:tc>
        <w:tc>
          <w:tcPr>
            <w:tcW w:w="1650" w:type="dxa"/>
          </w:tcPr>
          <w:p>
            <w:pPr>
              <w:pStyle w:val="0"/>
              <w:jc w:val="center"/>
            </w:pPr>
            <w:r>
              <w:rPr>
                <w:sz w:val="20"/>
              </w:rPr>
              <w:t xml:space="preserve">8</w:t>
            </w:r>
          </w:p>
        </w:tc>
      </w:tr>
      <w:tr>
        <w:tc>
          <w:tcPr>
            <w:tcW w:w="825" w:type="dxa"/>
          </w:tcPr>
          <w:p>
            <w:pPr>
              <w:pStyle w:val="0"/>
              <w:outlineLvl w:val="2"/>
              <w:jc w:val="center"/>
            </w:pPr>
            <w:r>
              <w:rPr>
                <w:sz w:val="20"/>
              </w:rPr>
              <w:t xml:space="preserve">1</w:t>
            </w:r>
          </w:p>
        </w:tc>
        <w:tc>
          <w:tcPr>
            <w:tcW w:w="4455" w:type="dxa"/>
          </w:tcPr>
          <w:p>
            <w:pPr>
              <w:pStyle w:val="0"/>
            </w:pPr>
            <w:r>
              <w:rPr>
                <w:sz w:val="20"/>
              </w:rPr>
              <w:t xml:space="preserve">Производственный персонал</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1.1</w:t>
            </w:r>
          </w:p>
        </w:tc>
        <w:tc>
          <w:tcPr>
            <w:tcW w:w="4455" w:type="dxa"/>
          </w:tcPr>
          <w:p>
            <w:pPr>
              <w:pStyle w:val="0"/>
            </w:pPr>
            <w:r>
              <w:rPr>
                <w:sz w:val="20"/>
              </w:rPr>
              <w:t xml:space="preserve">Регулируемый вид деятельности 1</w:t>
            </w:r>
          </w:p>
        </w:tc>
        <w:tc>
          <w:tcPr>
            <w:tcW w:w="165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1.n</w:t>
            </w:r>
          </w:p>
        </w:tc>
        <w:tc>
          <w:tcPr>
            <w:tcW w:w="4455" w:type="dxa"/>
          </w:tcPr>
          <w:p>
            <w:pPr>
              <w:pStyle w:val="0"/>
            </w:pPr>
            <w:r>
              <w:rPr>
                <w:sz w:val="20"/>
              </w:rPr>
              <w:t xml:space="preserve">Регулируемый вид деятельности n</w:t>
            </w:r>
          </w:p>
        </w:tc>
        <w:tc>
          <w:tcPr>
            <w:tcW w:w="165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outlineLvl w:val="2"/>
              <w:jc w:val="center"/>
            </w:pPr>
            <w:r>
              <w:rPr>
                <w:sz w:val="20"/>
              </w:rPr>
              <w:t xml:space="preserve">2</w:t>
            </w:r>
          </w:p>
        </w:tc>
        <w:tc>
          <w:tcPr>
            <w:tcW w:w="4455" w:type="dxa"/>
          </w:tcPr>
          <w:p>
            <w:pPr>
              <w:pStyle w:val="0"/>
            </w:pPr>
            <w:r>
              <w:rPr>
                <w:sz w:val="20"/>
              </w:rPr>
              <w:t xml:space="preserve">Ремонтный персонал</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2.1</w:t>
            </w:r>
          </w:p>
        </w:tc>
        <w:tc>
          <w:tcPr>
            <w:tcW w:w="4455" w:type="dxa"/>
          </w:tcPr>
          <w:p>
            <w:pPr>
              <w:pStyle w:val="0"/>
            </w:pPr>
            <w:r>
              <w:rPr>
                <w:sz w:val="20"/>
              </w:rPr>
              <w:t xml:space="preserve">Регулируемый вид деятельности 1</w:t>
            </w:r>
          </w:p>
        </w:tc>
        <w:tc>
          <w:tcPr>
            <w:tcW w:w="165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2.n</w:t>
            </w:r>
          </w:p>
        </w:tc>
        <w:tc>
          <w:tcPr>
            <w:tcW w:w="4455" w:type="dxa"/>
          </w:tcPr>
          <w:p>
            <w:pPr>
              <w:pStyle w:val="0"/>
            </w:pPr>
            <w:r>
              <w:rPr>
                <w:sz w:val="20"/>
              </w:rPr>
              <w:t xml:space="preserve">Регулируемый вид деятельности n</w:t>
            </w:r>
          </w:p>
        </w:tc>
        <w:tc>
          <w:tcPr>
            <w:tcW w:w="165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outlineLvl w:val="2"/>
              <w:jc w:val="center"/>
            </w:pPr>
            <w:r>
              <w:rPr>
                <w:sz w:val="20"/>
              </w:rPr>
              <w:t xml:space="preserve">3</w:t>
            </w:r>
          </w:p>
        </w:tc>
        <w:tc>
          <w:tcPr>
            <w:tcW w:w="4455" w:type="dxa"/>
          </w:tcPr>
          <w:p>
            <w:pPr>
              <w:pStyle w:val="0"/>
            </w:pPr>
            <w:r>
              <w:rPr>
                <w:sz w:val="20"/>
              </w:rPr>
              <w:t xml:space="preserve">Административный персонал</w:t>
            </w:r>
          </w:p>
        </w:tc>
        <w:tc>
          <w:tcPr>
            <w:tcW w:w="165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3.1</w:t>
            </w:r>
          </w:p>
        </w:tc>
        <w:tc>
          <w:tcPr>
            <w:tcW w:w="4455" w:type="dxa"/>
          </w:tcPr>
          <w:p>
            <w:pPr>
              <w:pStyle w:val="0"/>
            </w:pPr>
            <w:r>
              <w:rPr>
                <w:sz w:val="20"/>
              </w:rPr>
              <w:t xml:space="preserve">Регулируемый вид деятельности 1</w:t>
            </w:r>
          </w:p>
        </w:tc>
        <w:tc>
          <w:tcPr>
            <w:tcW w:w="165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825" w:type="dxa"/>
          </w:tcPr>
          <w:p>
            <w:pPr>
              <w:pStyle w:val="0"/>
              <w:jc w:val="center"/>
            </w:pPr>
            <w:r>
              <w:rPr>
                <w:sz w:val="20"/>
              </w:rPr>
              <w:t xml:space="preserve">3.n</w:t>
            </w:r>
          </w:p>
        </w:tc>
        <w:tc>
          <w:tcPr>
            <w:tcW w:w="4455" w:type="dxa"/>
          </w:tcPr>
          <w:p>
            <w:pPr>
              <w:pStyle w:val="0"/>
            </w:pPr>
            <w:r>
              <w:rPr>
                <w:sz w:val="20"/>
              </w:rPr>
              <w:t xml:space="preserve">Регулируемый вид деятельности n</w:t>
            </w:r>
          </w:p>
        </w:tc>
        <w:tc>
          <w:tcPr>
            <w:tcW w:w="165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2.3</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p>
      <w:pPr>
        <w:pStyle w:val="0"/>
        <w:jc w:val="center"/>
      </w:pPr>
      <w:r>
        <w:rPr>
          <w:sz w:val="20"/>
        </w:rPr>
        <w:t xml:space="preserve">Амортизация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4950"/>
        <w:gridCol w:w="1650"/>
        <w:gridCol w:w="825"/>
        <w:gridCol w:w="990"/>
        <w:gridCol w:w="825"/>
        <w:gridCol w:w="990"/>
        <w:gridCol w:w="1320"/>
      </w:tblGrid>
      <w:tr>
        <w:tc>
          <w:tcPr>
            <w:tcW w:w="660" w:type="dxa"/>
            <w:vMerge w:val="restart"/>
          </w:tcPr>
          <w:p>
            <w:pPr>
              <w:pStyle w:val="0"/>
              <w:jc w:val="center"/>
            </w:pPr>
            <w:r>
              <w:rPr>
                <w:sz w:val="20"/>
              </w:rPr>
              <w:t xml:space="preserve">N п/п</w:t>
            </w:r>
          </w:p>
        </w:tc>
        <w:tc>
          <w:tcPr>
            <w:tcW w:w="4950" w:type="dxa"/>
            <w:vMerge w:val="restart"/>
          </w:tcPr>
          <w:p>
            <w:pPr>
              <w:pStyle w:val="0"/>
              <w:jc w:val="center"/>
            </w:pPr>
            <w:r>
              <w:rPr>
                <w:sz w:val="20"/>
              </w:rPr>
              <w:t xml:space="preserve">Наименование</w:t>
            </w:r>
          </w:p>
        </w:tc>
        <w:tc>
          <w:tcPr>
            <w:tcW w:w="1650" w:type="dxa"/>
            <w:vMerge w:val="restart"/>
          </w:tcPr>
          <w:p>
            <w:pPr>
              <w:pStyle w:val="0"/>
              <w:jc w:val="center"/>
            </w:pPr>
            <w:r>
              <w:rPr>
                <w:sz w:val="20"/>
              </w:rPr>
              <w:t xml:space="preserve">Единица измерения</w:t>
            </w:r>
          </w:p>
        </w:tc>
        <w:tc>
          <w:tcPr>
            <w:gridSpan w:val="2"/>
            <w:tcW w:w="1815" w:type="dxa"/>
          </w:tcPr>
          <w:p>
            <w:pPr>
              <w:pStyle w:val="0"/>
              <w:jc w:val="center"/>
            </w:pPr>
            <w:r>
              <w:rPr>
                <w:sz w:val="20"/>
              </w:rPr>
              <w:t xml:space="preserve">Истекший год (i-2)</w:t>
            </w:r>
          </w:p>
        </w:tc>
        <w:tc>
          <w:tcPr>
            <w:gridSpan w:val="2"/>
            <w:tcW w:w="1815" w:type="dxa"/>
          </w:tcPr>
          <w:p>
            <w:pPr>
              <w:pStyle w:val="0"/>
              <w:jc w:val="center"/>
            </w:pPr>
            <w:r>
              <w:rPr>
                <w:sz w:val="20"/>
              </w:rPr>
              <w:t xml:space="preserve">Текущий год (i-1)</w:t>
            </w:r>
          </w:p>
        </w:tc>
        <w:tc>
          <w:tcPr>
            <w:tcW w:w="1320"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825" w:type="dxa"/>
          </w:tcPr>
          <w:p>
            <w:pPr>
              <w:pStyle w:val="0"/>
              <w:jc w:val="center"/>
            </w:pPr>
            <w:r>
              <w:rPr>
                <w:sz w:val="20"/>
              </w:rPr>
              <w:t xml:space="preserve">план</w:t>
            </w:r>
          </w:p>
        </w:tc>
        <w:tc>
          <w:tcPr>
            <w:tcW w:w="990" w:type="dxa"/>
          </w:tcPr>
          <w:p>
            <w:pPr>
              <w:pStyle w:val="0"/>
              <w:jc w:val="center"/>
            </w:pPr>
            <w:r>
              <w:rPr>
                <w:sz w:val="20"/>
              </w:rPr>
              <w:t xml:space="preserve">факт</w:t>
            </w:r>
          </w:p>
        </w:tc>
        <w:tc>
          <w:tcPr>
            <w:tcW w:w="825" w:type="dxa"/>
          </w:tcPr>
          <w:p>
            <w:pPr>
              <w:pStyle w:val="0"/>
              <w:jc w:val="center"/>
            </w:pPr>
            <w:r>
              <w:rPr>
                <w:sz w:val="20"/>
              </w:rPr>
              <w:t xml:space="preserve">план</w:t>
            </w:r>
          </w:p>
        </w:tc>
        <w:tc>
          <w:tcPr>
            <w:tcW w:w="990" w:type="dxa"/>
          </w:tcPr>
          <w:p>
            <w:pPr>
              <w:pStyle w:val="0"/>
              <w:jc w:val="center"/>
            </w:pPr>
            <w:r>
              <w:rPr>
                <w:sz w:val="20"/>
              </w:rPr>
              <w:t xml:space="preserve">ожид</w:t>
            </w:r>
          </w:p>
        </w:tc>
        <w:tc>
          <w:tcPr>
            <w:vMerge w:val="continue"/>
          </w:tcPr>
          <w:p/>
        </w:tc>
      </w:tr>
      <w:tr>
        <w:tc>
          <w:tcPr>
            <w:tcW w:w="660" w:type="dxa"/>
          </w:tcPr>
          <w:p>
            <w:pPr>
              <w:pStyle w:val="0"/>
              <w:jc w:val="center"/>
            </w:pPr>
            <w:r>
              <w:rPr>
                <w:sz w:val="20"/>
              </w:rPr>
              <w:t xml:space="preserve">1</w:t>
            </w:r>
          </w:p>
        </w:tc>
        <w:tc>
          <w:tcPr>
            <w:tcW w:w="4950" w:type="dxa"/>
          </w:tcPr>
          <w:p>
            <w:pPr>
              <w:pStyle w:val="0"/>
              <w:jc w:val="center"/>
            </w:pPr>
            <w:r>
              <w:rPr>
                <w:sz w:val="20"/>
              </w:rPr>
              <w:t xml:space="preserve">2</w:t>
            </w:r>
          </w:p>
        </w:tc>
        <w:tc>
          <w:tcPr>
            <w:tcW w:w="1650" w:type="dxa"/>
          </w:tcPr>
          <w:p>
            <w:pPr>
              <w:pStyle w:val="0"/>
              <w:jc w:val="center"/>
            </w:pPr>
            <w:r>
              <w:rPr>
                <w:sz w:val="20"/>
              </w:rPr>
              <w:t xml:space="preserve">3</w:t>
            </w:r>
          </w:p>
        </w:tc>
        <w:tc>
          <w:tcPr>
            <w:tcW w:w="825" w:type="dxa"/>
          </w:tcPr>
          <w:p>
            <w:pPr>
              <w:pStyle w:val="0"/>
              <w:jc w:val="center"/>
            </w:pPr>
            <w:r>
              <w:rPr>
                <w:sz w:val="20"/>
              </w:rPr>
              <w:t xml:space="preserve">4</w:t>
            </w:r>
          </w:p>
        </w:tc>
        <w:tc>
          <w:tcPr>
            <w:tcW w:w="990" w:type="dxa"/>
          </w:tcPr>
          <w:p>
            <w:pPr>
              <w:pStyle w:val="0"/>
              <w:jc w:val="center"/>
            </w:pPr>
            <w:r>
              <w:rPr>
                <w:sz w:val="20"/>
              </w:rPr>
              <w:t xml:space="preserve">5</w:t>
            </w:r>
          </w:p>
        </w:tc>
        <w:tc>
          <w:tcPr>
            <w:tcW w:w="825" w:type="dxa"/>
          </w:tcPr>
          <w:p>
            <w:pPr>
              <w:pStyle w:val="0"/>
              <w:jc w:val="center"/>
            </w:pPr>
            <w:r>
              <w:rPr>
                <w:sz w:val="20"/>
              </w:rPr>
              <w:t xml:space="preserve">6</w:t>
            </w:r>
          </w:p>
        </w:tc>
        <w:tc>
          <w:tcPr>
            <w:tcW w:w="990" w:type="dxa"/>
          </w:tcPr>
          <w:p>
            <w:pPr>
              <w:pStyle w:val="0"/>
              <w:jc w:val="center"/>
            </w:pPr>
            <w:r>
              <w:rPr>
                <w:sz w:val="20"/>
              </w:rPr>
              <w:t xml:space="preserve">7</w:t>
            </w:r>
          </w:p>
        </w:tc>
        <w:tc>
          <w:tcPr>
            <w:tcW w:w="1320" w:type="dxa"/>
          </w:tcPr>
          <w:p>
            <w:pPr>
              <w:pStyle w:val="0"/>
              <w:jc w:val="center"/>
            </w:pPr>
            <w:r>
              <w:rPr>
                <w:sz w:val="20"/>
              </w:rPr>
              <w:t xml:space="preserve">8</w:t>
            </w:r>
          </w:p>
        </w:tc>
      </w:tr>
      <w:tr>
        <w:tc>
          <w:tcPr>
            <w:tcW w:w="660" w:type="dxa"/>
          </w:tcPr>
          <w:p>
            <w:pPr>
              <w:pStyle w:val="0"/>
              <w:outlineLvl w:val="2"/>
              <w:jc w:val="center"/>
            </w:pPr>
            <w:r>
              <w:rPr>
                <w:sz w:val="20"/>
              </w:rPr>
              <w:t xml:space="preserve">1</w:t>
            </w:r>
          </w:p>
        </w:tc>
        <w:tc>
          <w:tcPr>
            <w:tcW w:w="4950" w:type="dxa"/>
          </w:tcPr>
          <w:p>
            <w:pPr>
              <w:pStyle w:val="0"/>
            </w:pPr>
            <w:r>
              <w:rPr>
                <w:sz w:val="20"/>
              </w:rPr>
              <w:t xml:space="preserve">Первоначальная (восстановительная) стоимость на начало периода</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1.1</w:t>
            </w:r>
          </w:p>
        </w:tc>
        <w:tc>
          <w:tcPr>
            <w:tcW w:w="4950" w:type="dxa"/>
          </w:tcPr>
          <w:p>
            <w:pPr>
              <w:pStyle w:val="0"/>
            </w:pPr>
            <w:r>
              <w:rPr>
                <w:sz w:val="20"/>
              </w:rPr>
              <w:t xml:space="preserve">Здания</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1.2</w:t>
            </w:r>
          </w:p>
        </w:tc>
        <w:tc>
          <w:tcPr>
            <w:tcW w:w="4950" w:type="dxa"/>
          </w:tcPr>
          <w:p>
            <w:pPr>
              <w:pStyle w:val="0"/>
            </w:pPr>
            <w:r>
              <w:rPr>
                <w:sz w:val="20"/>
              </w:rPr>
              <w:t xml:space="preserve">Сооружения и передаточные устройства</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1.3</w:t>
            </w:r>
          </w:p>
        </w:tc>
        <w:tc>
          <w:tcPr>
            <w:tcW w:w="4950" w:type="dxa"/>
          </w:tcPr>
          <w:p>
            <w:pPr>
              <w:pStyle w:val="0"/>
            </w:pPr>
            <w:r>
              <w:rPr>
                <w:sz w:val="20"/>
              </w:rPr>
              <w:t xml:space="preserve">Машины и оборудование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1.4</w:t>
            </w:r>
          </w:p>
        </w:tc>
        <w:tc>
          <w:tcPr>
            <w:tcW w:w="4950" w:type="dxa"/>
          </w:tcPr>
          <w:p>
            <w:pPr>
              <w:pStyle w:val="0"/>
            </w:pPr>
            <w:r>
              <w:rPr>
                <w:sz w:val="20"/>
              </w:rPr>
              <w:t xml:space="preserve">Транспорт</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1.5</w:t>
            </w:r>
          </w:p>
        </w:tc>
        <w:tc>
          <w:tcPr>
            <w:tcW w:w="4950" w:type="dxa"/>
          </w:tcPr>
          <w:p>
            <w:pPr>
              <w:pStyle w:val="0"/>
            </w:pPr>
            <w:r>
              <w:rPr>
                <w:sz w:val="20"/>
              </w:rPr>
              <w:t xml:space="preserve">Прочее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outlineLvl w:val="2"/>
              <w:jc w:val="center"/>
            </w:pPr>
            <w:r>
              <w:rPr>
                <w:sz w:val="20"/>
              </w:rPr>
              <w:t xml:space="preserve">2</w:t>
            </w:r>
          </w:p>
        </w:tc>
        <w:tc>
          <w:tcPr>
            <w:tcW w:w="4950" w:type="dxa"/>
          </w:tcPr>
          <w:p>
            <w:pPr>
              <w:pStyle w:val="0"/>
            </w:pPr>
            <w:r>
              <w:rPr>
                <w:sz w:val="20"/>
              </w:rPr>
              <w:t xml:space="preserve">Ввод основных фондов</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2.1</w:t>
            </w:r>
          </w:p>
        </w:tc>
        <w:tc>
          <w:tcPr>
            <w:tcW w:w="4950" w:type="dxa"/>
          </w:tcPr>
          <w:p>
            <w:pPr>
              <w:pStyle w:val="0"/>
            </w:pPr>
            <w:r>
              <w:rPr>
                <w:sz w:val="20"/>
              </w:rPr>
              <w:t xml:space="preserve">Здания</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2.2</w:t>
            </w:r>
          </w:p>
        </w:tc>
        <w:tc>
          <w:tcPr>
            <w:tcW w:w="4950" w:type="dxa"/>
          </w:tcPr>
          <w:p>
            <w:pPr>
              <w:pStyle w:val="0"/>
            </w:pPr>
            <w:r>
              <w:rPr>
                <w:sz w:val="20"/>
              </w:rPr>
              <w:t xml:space="preserve">Сооружения и передаточные устройства</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2.3</w:t>
            </w:r>
          </w:p>
        </w:tc>
        <w:tc>
          <w:tcPr>
            <w:tcW w:w="4950" w:type="dxa"/>
          </w:tcPr>
          <w:p>
            <w:pPr>
              <w:pStyle w:val="0"/>
            </w:pPr>
            <w:r>
              <w:rPr>
                <w:sz w:val="20"/>
              </w:rPr>
              <w:t xml:space="preserve">Машины и оборудование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2.4</w:t>
            </w:r>
          </w:p>
        </w:tc>
        <w:tc>
          <w:tcPr>
            <w:tcW w:w="4950" w:type="dxa"/>
          </w:tcPr>
          <w:p>
            <w:pPr>
              <w:pStyle w:val="0"/>
            </w:pPr>
            <w:r>
              <w:rPr>
                <w:sz w:val="20"/>
              </w:rPr>
              <w:t xml:space="preserve">Транспорт</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2.5</w:t>
            </w:r>
          </w:p>
        </w:tc>
        <w:tc>
          <w:tcPr>
            <w:tcW w:w="4950" w:type="dxa"/>
          </w:tcPr>
          <w:p>
            <w:pPr>
              <w:pStyle w:val="0"/>
            </w:pPr>
            <w:r>
              <w:rPr>
                <w:sz w:val="20"/>
              </w:rPr>
              <w:t xml:space="preserve">Прочее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outlineLvl w:val="2"/>
              <w:jc w:val="center"/>
            </w:pPr>
            <w:r>
              <w:rPr>
                <w:sz w:val="20"/>
              </w:rPr>
              <w:t xml:space="preserve">3</w:t>
            </w:r>
          </w:p>
        </w:tc>
        <w:tc>
          <w:tcPr>
            <w:tcW w:w="4950" w:type="dxa"/>
          </w:tcPr>
          <w:p>
            <w:pPr>
              <w:pStyle w:val="0"/>
            </w:pPr>
            <w:r>
              <w:rPr>
                <w:sz w:val="20"/>
              </w:rPr>
              <w:t xml:space="preserve">Выбытие основных фондов</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3.1</w:t>
            </w:r>
          </w:p>
        </w:tc>
        <w:tc>
          <w:tcPr>
            <w:tcW w:w="4950" w:type="dxa"/>
          </w:tcPr>
          <w:p>
            <w:pPr>
              <w:pStyle w:val="0"/>
            </w:pPr>
            <w:r>
              <w:rPr>
                <w:sz w:val="20"/>
              </w:rPr>
              <w:t xml:space="preserve">Здания</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3.2</w:t>
            </w:r>
          </w:p>
        </w:tc>
        <w:tc>
          <w:tcPr>
            <w:tcW w:w="4950" w:type="dxa"/>
          </w:tcPr>
          <w:p>
            <w:pPr>
              <w:pStyle w:val="0"/>
            </w:pPr>
            <w:r>
              <w:rPr>
                <w:sz w:val="20"/>
              </w:rPr>
              <w:t xml:space="preserve">Сооружения и передаточные устройства</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3.3</w:t>
            </w:r>
          </w:p>
        </w:tc>
        <w:tc>
          <w:tcPr>
            <w:tcW w:w="4950" w:type="dxa"/>
          </w:tcPr>
          <w:p>
            <w:pPr>
              <w:pStyle w:val="0"/>
            </w:pPr>
            <w:r>
              <w:rPr>
                <w:sz w:val="20"/>
              </w:rPr>
              <w:t xml:space="preserve">Машины и оборудование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3.4</w:t>
            </w:r>
          </w:p>
        </w:tc>
        <w:tc>
          <w:tcPr>
            <w:tcW w:w="4950" w:type="dxa"/>
          </w:tcPr>
          <w:p>
            <w:pPr>
              <w:pStyle w:val="0"/>
            </w:pPr>
            <w:r>
              <w:rPr>
                <w:sz w:val="20"/>
              </w:rPr>
              <w:t xml:space="preserve">Транспорт</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3.5</w:t>
            </w:r>
          </w:p>
        </w:tc>
        <w:tc>
          <w:tcPr>
            <w:tcW w:w="4950" w:type="dxa"/>
          </w:tcPr>
          <w:p>
            <w:pPr>
              <w:pStyle w:val="0"/>
            </w:pPr>
            <w:r>
              <w:rPr>
                <w:sz w:val="20"/>
              </w:rPr>
              <w:t xml:space="preserve">Прочее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outlineLvl w:val="2"/>
              <w:jc w:val="center"/>
            </w:pPr>
            <w:r>
              <w:rPr>
                <w:sz w:val="20"/>
              </w:rPr>
              <w:t xml:space="preserve">4</w:t>
            </w:r>
          </w:p>
        </w:tc>
        <w:tc>
          <w:tcPr>
            <w:tcW w:w="4950" w:type="dxa"/>
          </w:tcPr>
          <w:p>
            <w:pPr>
              <w:pStyle w:val="0"/>
            </w:pPr>
            <w:r>
              <w:rPr>
                <w:sz w:val="20"/>
              </w:rPr>
              <w:t xml:space="preserve">Первоначальная (восстановительная) стоимость на конец периода</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4.1</w:t>
            </w:r>
          </w:p>
        </w:tc>
        <w:tc>
          <w:tcPr>
            <w:tcW w:w="4950" w:type="dxa"/>
          </w:tcPr>
          <w:p>
            <w:pPr>
              <w:pStyle w:val="0"/>
            </w:pPr>
            <w:r>
              <w:rPr>
                <w:sz w:val="20"/>
              </w:rPr>
              <w:t xml:space="preserve">Здания</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4.2</w:t>
            </w:r>
          </w:p>
        </w:tc>
        <w:tc>
          <w:tcPr>
            <w:tcW w:w="4950" w:type="dxa"/>
          </w:tcPr>
          <w:p>
            <w:pPr>
              <w:pStyle w:val="0"/>
            </w:pPr>
            <w:r>
              <w:rPr>
                <w:sz w:val="20"/>
              </w:rPr>
              <w:t xml:space="preserve">Сооружения и передаточные устройства</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4.3</w:t>
            </w:r>
          </w:p>
        </w:tc>
        <w:tc>
          <w:tcPr>
            <w:tcW w:w="4950" w:type="dxa"/>
          </w:tcPr>
          <w:p>
            <w:pPr>
              <w:pStyle w:val="0"/>
            </w:pPr>
            <w:r>
              <w:rPr>
                <w:sz w:val="20"/>
              </w:rPr>
              <w:t xml:space="preserve">Машины и оборудование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4.4</w:t>
            </w:r>
          </w:p>
        </w:tc>
        <w:tc>
          <w:tcPr>
            <w:tcW w:w="4950" w:type="dxa"/>
          </w:tcPr>
          <w:p>
            <w:pPr>
              <w:pStyle w:val="0"/>
            </w:pPr>
            <w:r>
              <w:rPr>
                <w:sz w:val="20"/>
              </w:rPr>
              <w:t xml:space="preserve">Транспорт</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4.5</w:t>
            </w:r>
          </w:p>
        </w:tc>
        <w:tc>
          <w:tcPr>
            <w:tcW w:w="4950" w:type="dxa"/>
          </w:tcPr>
          <w:p>
            <w:pPr>
              <w:pStyle w:val="0"/>
            </w:pPr>
            <w:r>
              <w:rPr>
                <w:sz w:val="20"/>
              </w:rPr>
              <w:t xml:space="preserve">Прочее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outlineLvl w:val="2"/>
              <w:jc w:val="center"/>
            </w:pPr>
            <w:r>
              <w:rPr>
                <w:sz w:val="20"/>
              </w:rPr>
              <w:t xml:space="preserve">5</w:t>
            </w:r>
          </w:p>
        </w:tc>
        <w:tc>
          <w:tcPr>
            <w:tcW w:w="4950" w:type="dxa"/>
          </w:tcPr>
          <w:p>
            <w:pPr>
              <w:pStyle w:val="0"/>
            </w:pPr>
            <w:r>
              <w:rPr>
                <w:sz w:val="20"/>
              </w:rPr>
              <w:t xml:space="preserve">Среднегодовая стоимость</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5.1</w:t>
            </w:r>
          </w:p>
        </w:tc>
        <w:tc>
          <w:tcPr>
            <w:tcW w:w="4950" w:type="dxa"/>
          </w:tcPr>
          <w:p>
            <w:pPr>
              <w:pStyle w:val="0"/>
            </w:pPr>
            <w:r>
              <w:rPr>
                <w:sz w:val="20"/>
              </w:rPr>
              <w:t xml:space="preserve">Здания</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5.2</w:t>
            </w:r>
          </w:p>
        </w:tc>
        <w:tc>
          <w:tcPr>
            <w:tcW w:w="4950" w:type="dxa"/>
          </w:tcPr>
          <w:p>
            <w:pPr>
              <w:pStyle w:val="0"/>
            </w:pPr>
            <w:r>
              <w:rPr>
                <w:sz w:val="20"/>
              </w:rPr>
              <w:t xml:space="preserve">Сооружения и передаточные устройства</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5.3</w:t>
            </w:r>
          </w:p>
        </w:tc>
        <w:tc>
          <w:tcPr>
            <w:tcW w:w="4950" w:type="dxa"/>
          </w:tcPr>
          <w:p>
            <w:pPr>
              <w:pStyle w:val="0"/>
            </w:pPr>
            <w:r>
              <w:rPr>
                <w:sz w:val="20"/>
              </w:rPr>
              <w:t xml:space="preserve">Машины и оборудование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5.4</w:t>
            </w:r>
          </w:p>
        </w:tc>
        <w:tc>
          <w:tcPr>
            <w:tcW w:w="4950" w:type="dxa"/>
          </w:tcPr>
          <w:p>
            <w:pPr>
              <w:pStyle w:val="0"/>
            </w:pPr>
            <w:r>
              <w:rPr>
                <w:sz w:val="20"/>
              </w:rPr>
              <w:t xml:space="preserve">Транспорт</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5.5</w:t>
            </w:r>
          </w:p>
        </w:tc>
        <w:tc>
          <w:tcPr>
            <w:tcW w:w="4950" w:type="dxa"/>
          </w:tcPr>
          <w:p>
            <w:pPr>
              <w:pStyle w:val="0"/>
            </w:pPr>
            <w:r>
              <w:rPr>
                <w:sz w:val="20"/>
              </w:rPr>
              <w:t xml:space="preserve">Прочее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outlineLvl w:val="2"/>
              <w:jc w:val="center"/>
            </w:pPr>
            <w:r>
              <w:rPr>
                <w:sz w:val="20"/>
              </w:rPr>
              <w:t xml:space="preserve">6</w:t>
            </w:r>
          </w:p>
        </w:tc>
        <w:tc>
          <w:tcPr>
            <w:tcW w:w="4950" w:type="dxa"/>
          </w:tcPr>
          <w:p>
            <w:pPr>
              <w:pStyle w:val="0"/>
            </w:pPr>
            <w:r>
              <w:rPr>
                <w:sz w:val="20"/>
              </w:rPr>
              <w:t xml:space="preserve">Средняя норма амортизационных отчислений</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6.1</w:t>
            </w:r>
          </w:p>
        </w:tc>
        <w:tc>
          <w:tcPr>
            <w:tcW w:w="4950" w:type="dxa"/>
          </w:tcPr>
          <w:p>
            <w:pPr>
              <w:pStyle w:val="0"/>
            </w:pPr>
            <w:r>
              <w:rPr>
                <w:sz w:val="20"/>
              </w:rPr>
              <w:t xml:space="preserve">Здания</w:t>
            </w:r>
          </w:p>
        </w:tc>
        <w:tc>
          <w:tcPr>
            <w:tcW w:w="1650" w:type="dxa"/>
          </w:tcPr>
          <w:p>
            <w:pPr>
              <w:pStyle w:val="0"/>
              <w:jc w:val="center"/>
            </w:pPr>
            <w:r>
              <w:rPr>
                <w:sz w:val="20"/>
              </w:rPr>
              <w:t xml:space="preserve">%</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6.2</w:t>
            </w:r>
          </w:p>
        </w:tc>
        <w:tc>
          <w:tcPr>
            <w:tcW w:w="4950" w:type="dxa"/>
          </w:tcPr>
          <w:p>
            <w:pPr>
              <w:pStyle w:val="0"/>
            </w:pPr>
            <w:r>
              <w:rPr>
                <w:sz w:val="20"/>
              </w:rPr>
              <w:t xml:space="preserve">Сооружения и передаточные устройства</w:t>
            </w:r>
          </w:p>
        </w:tc>
        <w:tc>
          <w:tcPr>
            <w:tcW w:w="1650" w:type="dxa"/>
          </w:tcPr>
          <w:p>
            <w:pPr>
              <w:pStyle w:val="0"/>
              <w:jc w:val="center"/>
            </w:pPr>
            <w:r>
              <w:rPr>
                <w:sz w:val="20"/>
              </w:rPr>
              <w:t xml:space="preserve">%</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6.3</w:t>
            </w:r>
          </w:p>
        </w:tc>
        <w:tc>
          <w:tcPr>
            <w:tcW w:w="4950" w:type="dxa"/>
          </w:tcPr>
          <w:p>
            <w:pPr>
              <w:pStyle w:val="0"/>
            </w:pPr>
            <w:r>
              <w:rPr>
                <w:sz w:val="20"/>
              </w:rPr>
              <w:t xml:space="preserve">Машины и оборудование</w:t>
            </w:r>
          </w:p>
        </w:tc>
        <w:tc>
          <w:tcPr>
            <w:tcW w:w="1650" w:type="dxa"/>
          </w:tcPr>
          <w:p>
            <w:pPr>
              <w:pStyle w:val="0"/>
              <w:jc w:val="center"/>
            </w:pPr>
            <w:r>
              <w:rPr>
                <w:sz w:val="20"/>
              </w:rPr>
              <w:t xml:space="preserve">%</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6.4</w:t>
            </w:r>
          </w:p>
        </w:tc>
        <w:tc>
          <w:tcPr>
            <w:tcW w:w="4950" w:type="dxa"/>
          </w:tcPr>
          <w:p>
            <w:pPr>
              <w:pStyle w:val="0"/>
            </w:pPr>
            <w:r>
              <w:rPr>
                <w:sz w:val="20"/>
              </w:rPr>
              <w:t xml:space="preserve">Транспорт</w:t>
            </w:r>
          </w:p>
        </w:tc>
        <w:tc>
          <w:tcPr>
            <w:tcW w:w="1650" w:type="dxa"/>
          </w:tcPr>
          <w:p>
            <w:pPr>
              <w:pStyle w:val="0"/>
              <w:jc w:val="center"/>
            </w:pPr>
            <w:r>
              <w:rPr>
                <w:sz w:val="20"/>
              </w:rPr>
              <w:t xml:space="preserve">%</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6.5</w:t>
            </w:r>
          </w:p>
        </w:tc>
        <w:tc>
          <w:tcPr>
            <w:tcW w:w="4950" w:type="dxa"/>
          </w:tcPr>
          <w:p>
            <w:pPr>
              <w:pStyle w:val="0"/>
            </w:pPr>
            <w:r>
              <w:rPr>
                <w:sz w:val="20"/>
              </w:rPr>
              <w:t xml:space="preserve">Прочее</w:t>
            </w:r>
          </w:p>
        </w:tc>
        <w:tc>
          <w:tcPr>
            <w:tcW w:w="1650" w:type="dxa"/>
          </w:tcPr>
          <w:p>
            <w:pPr>
              <w:pStyle w:val="0"/>
              <w:jc w:val="center"/>
            </w:pPr>
            <w:r>
              <w:rPr>
                <w:sz w:val="20"/>
              </w:rPr>
              <w:t xml:space="preserve">%</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outlineLvl w:val="2"/>
              <w:jc w:val="center"/>
            </w:pPr>
            <w:r>
              <w:rPr>
                <w:sz w:val="20"/>
              </w:rPr>
              <w:t xml:space="preserve">7</w:t>
            </w:r>
          </w:p>
        </w:tc>
        <w:tc>
          <w:tcPr>
            <w:tcW w:w="4950" w:type="dxa"/>
          </w:tcPr>
          <w:p>
            <w:pPr>
              <w:pStyle w:val="0"/>
            </w:pPr>
            <w:r>
              <w:rPr>
                <w:sz w:val="20"/>
              </w:rPr>
              <w:t xml:space="preserve">Сумма амортизационных отчислений</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7.1</w:t>
            </w:r>
          </w:p>
        </w:tc>
        <w:tc>
          <w:tcPr>
            <w:tcW w:w="4950" w:type="dxa"/>
          </w:tcPr>
          <w:p>
            <w:pPr>
              <w:pStyle w:val="0"/>
            </w:pPr>
            <w:r>
              <w:rPr>
                <w:sz w:val="20"/>
              </w:rPr>
              <w:t xml:space="preserve">Здания</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7.2</w:t>
            </w:r>
          </w:p>
        </w:tc>
        <w:tc>
          <w:tcPr>
            <w:tcW w:w="4950" w:type="dxa"/>
          </w:tcPr>
          <w:p>
            <w:pPr>
              <w:pStyle w:val="0"/>
            </w:pPr>
            <w:r>
              <w:rPr>
                <w:sz w:val="20"/>
              </w:rPr>
              <w:t xml:space="preserve">Сооружения и передаточные устройства</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7.3</w:t>
            </w:r>
          </w:p>
        </w:tc>
        <w:tc>
          <w:tcPr>
            <w:tcW w:w="4950" w:type="dxa"/>
          </w:tcPr>
          <w:p>
            <w:pPr>
              <w:pStyle w:val="0"/>
            </w:pPr>
            <w:r>
              <w:rPr>
                <w:sz w:val="20"/>
              </w:rPr>
              <w:t xml:space="preserve">Машины и оборудование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7.4</w:t>
            </w:r>
          </w:p>
        </w:tc>
        <w:tc>
          <w:tcPr>
            <w:tcW w:w="4950" w:type="dxa"/>
          </w:tcPr>
          <w:p>
            <w:pPr>
              <w:pStyle w:val="0"/>
            </w:pPr>
            <w:r>
              <w:rPr>
                <w:sz w:val="20"/>
              </w:rPr>
              <w:t xml:space="preserve">Транспорт</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7.5</w:t>
            </w:r>
          </w:p>
        </w:tc>
        <w:tc>
          <w:tcPr>
            <w:tcW w:w="4950" w:type="dxa"/>
          </w:tcPr>
          <w:p>
            <w:pPr>
              <w:pStyle w:val="0"/>
            </w:pPr>
            <w:r>
              <w:rPr>
                <w:sz w:val="20"/>
              </w:rPr>
              <w:t xml:space="preserve">Прочее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outlineLvl w:val="2"/>
              <w:jc w:val="center"/>
            </w:pPr>
            <w:r>
              <w:rPr>
                <w:sz w:val="20"/>
              </w:rPr>
              <w:t xml:space="preserve">8</w:t>
            </w:r>
          </w:p>
        </w:tc>
        <w:tc>
          <w:tcPr>
            <w:tcW w:w="4950" w:type="dxa"/>
          </w:tcPr>
          <w:p>
            <w:pPr>
              <w:pStyle w:val="0"/>
            </w:pPr>
            <w:r>
              <w:rPr>
                <w:sz w:val="20"/>
              </w:rPr>
              <w:t xml:space="preserve">Переоценка на 31.12.XX.</w:t>
            </w:r>
          </w:p>
        </w:tc>
        <w:tc>
          <w:tcPr>
            <w:tcW w:w="165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8.1</w:t>
            </w:r>
          </w:p>
        </w:tc>
        <w:tc>
          <w:tcPr>
            <w:tcW w:w="4950" w:type="dxa"/>
          </w:tcPr>
          <w:p>
            <w:pPr>
              <w:pStyle w:val="0"/>
            </w:pPr>
            <w:r>
              <w:rPr>
                <w:sz w:val="20"/>
              </w:rPr>
              <w:t xml:space="preserve">Здания</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8.2</w:t>
            </w:r>
          </w:p>
        </w:tc>
        <w:tc>
          <w:tcPr>
            <w:tcW w:w="4950" w:type="dxa"/>
          </w:tcPr>
          <w:p>
            <w:pPr>
              <w:pStyle w:val="0"/>
            </w:pPr>
            <w:r>
              <w:rPr>
                <w:sz w:val="20"/>
              </w:rPr>
              <w:t xml:space="preserve">Сооружения и передаточные устройства</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8.3</w:t>
            </w:r>
          </w:p>
        </w:tc>
        <w:tc>
          <w:tcPr>
            <w:tcW w:w="4950" w:type="dxa"/>
          </w:tcPr>
          <w:p>
            <w:pPr>
              <w:pStyle w:val="0"/>
            </w:pPr>
            <w:r>
              <w:rPr>
                <w:sz w:val="20"/>
              </w:rPr>
              <w:t xml:space="preserve">Машины и оборудование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8.4</w:t>
            </w:r>
          </w:p>
        </w:tc>
        <w:tc>
          <w:tcPr>
            <w:tcW w:w="4950" w:type="dxa"/>
          </w:tcPr>
          <w:p>
            <w:pPr>
              <w:pStyle w:val="0"/>
            </w:pPr>
            <w:r>
              <w:rPr>
                <w:sz w:val="20"/>
              </w:rPr>
              <w:t xml:space="preserve">Транспорт</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660" w:type="dxa"/>
          </w:tcPr>
          <w:p>
            <w:pPr>
              <w:pStyle w:val="0"/>
              <w:jc w:val="center"/>
            </w:pPr>
            <w:r>
              <w:rPr>
                <w:sz w:val="20"/>
              </w:rPr>
              <w:t xml:space="preserve">8.5</w:t>
            </w:r>
          </w:p>
        </w:tc>
        <w:tc>
          <w:tcPr>
            <w:tcW w:w="4950" w:type="dxa"/>
          </w:tcPr>
          <w:p>
            <w:pPr>
              <w:pStyle w:val="0"/>
            </w:pPr>
            <w:r>
              <w:rPr>
                <w:sz w:val="20"/>
              </w:rPr>
              <w:t xml:space="preserve">Прочее</w:t>
            </w:r>
          </w:p>
        </w:tc>
        <w:tc>
          <w:tcPr>
            <w:tcW w:w="165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2.4</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p>
      <w:pPr>
        <w:pStyle w:val="0"/>
        <w:jc w:val="center"/>
      </w:pPr>
      <w:r>
        <w:rPr>
          <w:sz w:val="20"/>
        </w:rPr>
        <w:t xml:space="preserve">Источники финансирования капитальных вложений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4950"/>
        <w:gridCol w:w="1320"/>
        <w:gridCol w:w="825"/>
        <w:gridCol w:w="990"/>
        <w:gridCol w:w="825"/>
        <w:gridCol w:w="990"/>
        <w:gridCol w:w="1320"/>
      </w:tblGrid>
      <w:tr>
        <w:tc>
          <w:tcPr>
            <w:tcW w:w="990" w:type="dxa"/>
            <w:vMerge w:val="restart"/>
          </w:tcPr>
          <w:p>
            <w:pPr>
              <w:pStyle w:val="0"/>
              <w:jc w:val="center"/>
            </w:pPr>
            <w:r>
              <w:rPr>
                <w:sz w:val="20"/>
              </w:rPr>
              <w:t xml:space="preserve">N п/п</w:t>
            </w:r>
          </w:p>
        </w:tc>
        <w:tc>
          <w:tcPr>
            <w:tcW w:w="4950" w:type="dxa"/>
            <w:vMerge w:val="restart"/>
          </w:tcPr>
          <w:p>
            <w:pPr>
              <w:pStyle w:val="0"/>
              <w:jc w:val="center"/>
            </w:pPr>
            <w:r>
              <w:rPr>
                <w:sz w:val="20"/>
              </w:rPr>
              <w:t xml:space="preserve">Наименование</w:t>
            </w:r>
          </w:p>
        </w:tc>
        <w:tc>
          <w:tcPr>
            <w:tcW w:w="1320" w:type="dxa"/>
            <w:vMerge w:val="restart"/>
          </w:tcPr>
          <w:p>
            <w:pPr>
              <w:pStyle w:val="0"/>
              <w:jc w:val="center"/>
            </w:pPr>
            <w:r>
              <w:rPr>
                <w:sz w:val="20"/>
              </w:rPr>
              <w:t xml:space="preserve">Единица измерения</w:t>
            </w:r>
          </w:p>
        </w:tc>
        <w:tc>
          <w:tcPr>
            <w:gridSpan w:val="2"/>
            <w:tcW w:w="1815" w:type="dxa"/>
          </w:tcPr>
          <w:p>
            <w:pPr>
              <w:pStyle w:val="0"/>
              <w:jc w:val="center"/>
            </w:pPr>
            <w:r>
              <w:rPr>
                <w:sz w:val="20"/>
              </w:rPr>
              <w:t xml:space="preserve">Истекший год (i-2)</w:t>
            </w:r>
          </w:p>
        </w:tc>
        <w:tc>
          <w:tcPr>
            <w:gridSpan w:val="2"/>
            <w:tcW w:w="1815" w:type="dxa"/>
          </w:tcPr>
          <w:p>
            <w:pPr>
              <w:pStyle w:val="0"/>
              <w:jc w:val="center"/>
            </w:pPr>
            <w:r>
              <w:rPr>
                <w:sz w:val="20"/>
              </w:rPr>
              <w:t xml:space="preserve">Текущий год (i-2)</w:t>
            </w:r>
          </w:p>
        </w:tc>
        <w:tc>
          <w:tcPr>
            <w:tcW w:w="1320"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825" w:type="dxa"/>
          </w:tcPr>
          <w:p>
            <w:pPr>
              <w:pStyle w:val="0"/>
              <w:jc w:val="center"/>
            </w:pPr>
            <w:r>
              <w:rPr>
                <w:sz w:val="20"/>
              </w:rPr>
              <w:t xml:space="preserve">план</w:t>
            </w:r>
          </w:p>
        </w:tc>
        <w:tc>
          <w:tcPr>
            <w:tcW w:w="990" w:type="dxa"/>
          </w:tcPr>
          <w:p>
            <w:pPr>
              <w:pStyle w:val="0"/>
              <w:jc w:val="center"/>
            </w:pPr>
            <w:r>
              <w:rPr>
                <w:sz w:val="20"/>
              </w:rPr>
              <w:t xml:space="preserve">факт</w:t>
            </w:r>
          </w:p>
        </w:tc>
        <w:tc>
          <w:tcPr>
            <w:tcW w:w="825" w:type="dxa"/>
          </w:tcPr>
          <w:p>
            <w:pPr>
              <w:pStyle w:val="0"/>
              <w:jc w:val="center"/>
            </w:pPr>
            <w:r>
              <w:rPr>
                <w:sz w:val="20"/>
              </w:rPr>
              <w:t xml:space="preserve">план</w:t>
            </w:r>
          </w:p>
        </w:tc>
        <w:tc>
          <w:tcPr>
            <w:tcW w:w="990" w:type="dxa"/>
          </w:tcPr>
          <w:p>
            <w:pPr>
              <w:pStyle w:val="0"/>
              <w:jc w:val="center"/>
            </w:pPr>
            <w:r>
              <w:rPr>
                <w:sz w:val="20"/>
              </w:rPr>
              <w:t xml:space="preserve">ожид</w:t>
            </w:r>
          </w:p>
        </w:tc>
        <w:tc>
          <w:tcPr>
            <w:vMerge w:val="continue"/>
          </w:tcPr>
          <w:p/>
        </w:tc>
      </w:tr>
      <w:tr>
        <w:tc>
          <w:tcPr>
            <w:tcW w:w="990" w:type="dxa"/>
          </w:tcPr>
          <w:p>
            <w:pPr>
              <w:pStyle w:val="0"/>
              <w:jc w:val="center"/>
            </w:pPr>
            <w:r>
              <w:rPr>
                <w:sz w:val="20"/>
              </w:rPr>
              <w:t xml:space="preserve">1</w:t>
            </w:r>
          </w:p>
        </w:tc>
        <w:tc>
          <w:tcPr>
            <w:tcW w:w="4950" w:type="dxa"/>
          </w:tcPr>
          <w:p>
            <w:pPr>
              <w:pStyle w:val="0"/>
              <w:jc w:val="center"/>
            </w:pPr>
            <w:r>
              <w:rPr>
                <w:sz w:val="20"/>
              </w:rPr>
              <w:t xml:space="preserve">2</w:t>
            </w:r>
          </w:p>
        </w:tc>
        <w:tc>
          <w:tcPr>
            <w:tcW w:w="1320" w:type="dxa"/>
          </w:tcPr>
          <w:p>
            <w:pPr>
              <w:pStyle w:val="0"/>
              <w:jc w:val="center"/>
            </w:pPr>
            <w:r>
              <w:rPr>
                <w:sz w:val="20"/>
              </w:rPr>
              <w:t xml:space="preserve">3</w:t>
            </w:r>
          </w:p>
        </w:tc>
        <w:tc>
          <w:tcPr>
            <w:tcW w:w="825" w:type="dxa"/>
          </w:tcPr>
          <w:p>
            <w:pPr>
              <w:pStyle w:val="0"/>
              <w:jc w:val="center"/>
            </w:pPr>
            <w:r>
              <w:rPr>
                <w:sz w:val="20"/>
              </w:rPr>
              <w:t xml:space="preserve">4</w:t>
            </w:r>
          </w:p>
        </w:tc>
        <w:tc>
          <w:tcPr>
            <w:tcW w:w="990" w:type="dxa"/>
          </w:tcPr>
          <w:p>
            <w:pPr>
              <w:pStyle w:val="0"/>
              <w:jc w:val="center"/>
            </w:pPr>
            <w:r>
              <w:rPr>
                <w:sz w:val="20"/>
              </w:rPr>
              <w:t xml:space="preserve">5</w:t>
            </w:r>
          </w:p>
        </w:tc>
        <w:tc>
          <w:tcPr>
            <w:tcW w:w="825" w:type="dxa"/>
          </w:tcPr>
          <w:p>
            <w:pPr>
              <w:pStyle w:val="0"/>
              <w:jc w:val="center"/>
            </w:pPr>
            <w:r>
              <w:rPr>
                <w:sz w:val="20"/>
              </w:rPr>
              <w:t xml:space="preserve">6</w:t>
            </w:r>
          </w:p>
        </w:tc>
        <w:tc>
          <w:tcPr>
            <w:tcW w:w="990" w:type="dxa"/>
          </w:tcPr>
          <w:p>
            <w:pPr>
              <w:pStyle w:val="0"/>
              <w:jc w:val="center"/>
            </w:pPr>
            <w:r>
              <w:rPr>
                <w:sz w:val="20"/>
              </w:rPr>
              <w:t xml:space="preserve">7</w:t>
            </w:r>
          </w:p>
        </w:tc>
        <w:tc>
          <w:tcPr>
            <w:tcW w:w="1320" w:type="dxa"/>
          </w:tcPr>
          <w:p>
            <w:pPr>
              <w:pStyle w:val="0"/>
              <w:jc w:val="center"/>
            </w:pPr>
            <w:r>
              <w:rPr>
                <w:sz w:val="20"/>
              </w:rPr>
              <w:t xml:space="preserve">8</w:t>
            </w:r>
          </w:p>
        </w:tc>
      </w:tr>
      <w:tr>
        <w:tc>
          <w:tcPr>
            <w:tcW w:w="990" w:type="dxa"/>
          </w:tcPr>
          <w:p>
            <w:pPr>
              <w:pStyle w:val="0"/>
              <w:jc w:val="center"/>
            </w:pPr>
            <w:r>
              <w:rPr>
                <w:sz w:val="20"/>
              </w:rPr>
              <w:t xml:space="preserve">1</w:t>
            </w:r>
          </w:p>
        </w:tc>
        <w:tc>
          <w:tcPr>
            <w:tcW w:w="4950" w:type="dxa"/>
          </w:tcPr>
          <w:p>
            <w:pPr>
              <w:pStyle w:val="0"/>
            </w:pPr>
            <w:r>
              <w:rPr>
                <w:sz w:val="20"/>
              </w:rPr>
              <w:t xml:space="preserve">Объем капитальных вложений</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1.1</w:t>
            </w:r>
          </w:p>
        </w:tc>
        <w:tc>
          <w:tcPr>
            <w:tcW w:w="4950" w:type="dxa"/>
          </w:tcPr>
          <w:p>
            <w:pPr>
              <w:pStyle w:val="0"/>
            </w:pPr>
            <w:r>
              <w:rPr>
                <w:sz w:val="20"/>
              </w:rPr>
              <w:t xml:space="preserve">на забор и подъем воды</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1.2</w:t>
            </w:r>
          </w:p>
        </w:tc>
        <w:tc>
          <w:tcPr>
            <w:tcW w:w="4950" w:type="dxa"/>
          </w:tcPr>
          <w:p>
            <w:pPr>
              <w:pStyle w:val="0"/>
            </w:pPr>
            <w:r>
              <w:rPr>
                <w:sz w:val="20"/>
              </w:rPr>
              <w:t xml:space="preserve">на водоподготовку</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1.3</w:t>
            </w:r>
          </w:p>
        </w:tc>
        <w:tc>
          <w:tcPr>
            <w:tcW w:w="4950" w:type="dxa"/>
          </w:tcPr>
          <w:p>
            <w:pPr>
              <w:pStyle w:val="0"/>
            </w:pPr>
            <w:r>
              <w:rPr>
                <w:sz w:val="20"/>
              </w:rPr>
              <w:t xml:space="preserve">на транспортировку воды</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1.4</w:t>
            </w:r>
          </w:p>
        </w:tc>
        <w:tc>
          <w:tcPr>
            <w:tcW w:w="4950" w:type="dxa"/>
          </w:tcPr>
          <w:p>
            <w:pPr>
              <w:pStyle w:val="0"/>
            </w:pPr>
            <w:r>
              <w:rPr>
                <w:sz w:val="20"/>
              </w:rPr>
              <w:t xml:space="preserve">на транспортировку сточных вод</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1.5</w:t>
            </w:r>
          </w:p>
        </w:tc>
        <w:tc>
          <w:tcPr>
            <w:tcW w:w="4950" w:type="dxa"/>
          </w:tcPr>
          <w:p>
            <w:pPr>
              <w:pStyle w:val="0"/>
            </w:pPr>
            <w:r>
              <w:rPr>
                <w:sz w:val="20"/>
              </w:rPr>
              <w:t xml:space="preserve">на очистку сточных вод</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1.6</w:t>
            </w:r>
          </w:p>
        </w:tc>
        <w:tc>
          <w:tcPr>
            <w:tcW w:w="4950" w:type="dxa"/>
          </w:tcPr>
          <w:p>
            <w:pPr>
              <w:pStyle w:val="0"/>
            </w:pPr>
            <w:r>
              <w:rPr>
                <w:sz w:val="20"/>
              </w:rPr>
              <w:t xml:space="preserve">на обращение с осадком сточных вод</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1.7</w:t>
            </w:r>
          </w:p>
        </w:tc>
        <w:tc>
          <w:tcPr>
            <w:tcW w:w="4950" w:type="dxa"/>
          </w:tcPr>
          <w:p>
            <w:pPr>
              <w:pStyle w:val="0"/>
            </w:pPr>
            <w:r>
              <w:rPr>
                <w:sz w:val="20"/>
              </w:rPr>
              <w:t xml:space="preserve">прочее</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w:t>
            </w:r>
          </w:p>
        </w:tc>
        <w:tc>
          <w:tcPr>
            <w:tcW w:w="4950" w:type="dxa"/>
          </w:tcPr>
          <w:p>
            <w:pPr>
              <w:pStyle w:val="0"/>
            </w:pPr>
            <w:r>
              <w:rPr>
                <w:sz w:val="20"/>
              </w:rPr>
              <w:t xml:space="preserve">Финансирование капитальных вложений</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2.1</w:t>
            </w:r>
          </w:p>
        </w:tc>
        <w:tc>
          <w:tcPr>
            <w:tcW w:w="4950" w:type="dxa"/>
          </w:tcPr>
          <w:p>
            <w:pPr>
              <w:pStyle w:val="0"/>
            </w:pPr>
            <w:r>
              <w:rPr>
                <w:sz w:val="20"/>
              </w:rPr>
              <w:t xml:space="preserve">Амортизация</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2.1.1</w:t>
            </w:r>
          </w:p>
        </w:tc>
        <w:tc>
          <w:tcPr>
            <w:tcW w:w="4950" w:type="dxa"/>
          </w:tcPr>
          <w:p>
            <w:pPr>
              <w:pStyle w:val="0"/>
            </w:pPr>
            <w:r>
              <w:rPr>
                <w:sz w:val="20"/>
              </w:rPr>
              <w:t xml:space="preserve">переоценка основных средств</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2.2</w:t>
            </w:r>
          </w:p>
        </w:tc>
        <w:tc>
          <w:tcPr>
            <w:tcW w:w="4950" w:type="dxa"/>
          </w:tcPr>
          <w:p>
            <w:pPr>
              <w:pStyle w:val="0"/>
            </w:pPr>
            <w:r>
              <w:rPr>
                <w:sz w:val="20"/>
              </w:rPr>
              <w:t xml:space="preserve">Прибыль</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2.2.1</w:t>
            </w:r>
          </w:p>
        </w:tc>
        <w:tc>
          <w:tcPr>
            <w:tcW w:w="4950" w:type="dxa"/>
          </w:tcPr>
          <w:p>
            <w:pPr>
              <w:pStyle w:val="0"/>
            </w:pPr>
            <w:r>
              <w:rPr>
                <w:sz w:val="20"/>
              </w:rPr>
              <w:t xml:space="preserve">дополнительные доходы</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2.3</w:t>
            </w:r>
          </w:p>
        </w:tc>
        <w:tc>
          <w:tcPr>
            <w:tcW w:w="4950" w:type="dxa"/>
          </w:tcPr>
          <w:p>
            <w:pPr>
              <w:pStyle w:val="0"/>
            </w:pPr>
            <w:r>
              <w:rPr>
                <w:sz w:val="20"/>
              </w:rPr>
              <w:t xml:space="preserve">Займы и кредиты</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2.4</w:t>
            </w:r>
          </w:p>
        </w:tc>
        <w:tc>
          <w:tcPr>
            <w:tcW w:w="4950" w:type="dxa"/>
          </w:tcPr>
          <w:p>
            <w:pPr>
              <w:pStyle w:val="0"/>
            </w:pPr>
            <w:r>
              <w:rPr>
                <w:sz w:val="20"/>
              </w:rPr>
              <w:t xml:space="preserve">Бюджетные средства</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2.4.1</w:t>
            </w:r>
          </w:p>
        </w:tc>
        <w:tc>
          <w:tcPr>
            <w:tcW w:w="4950" w:type="dxa"/>
          </w:tcPr>
          <w:p>
            <w:pPr>
              <w:pStyle w:val="0"/>
            </w:pPr>
            <w:r>
              <w:rPr>
                <w:sz w:val="20"/>
              </w:rPr>
              <w:t xml:space="preserve">федерального бюджета</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2.4.2</w:t>
            </w:r>
          </w:p>
        </w:tc>
        <w:tc>
          <w:tcPr>
            <w:tcW w:w="4950" w:type="dxa"/>
          </w:tcPr>
          <w:p>
            <w:pPr>
              <w:pStyle w:val="0"/>
            </w:pPr>
            <w:r>
              <w:rPr>
                <w:sz w:val="20"/>
              </w:rPr>
              <w:t xml:space="preserve">регионального бюджета</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2.4.3</w:t>
            </w:r>
          </w:p>
        </w:tc>
        <w:tc>
          <w:tcPr>
            <w:tcW w:w="4950" w:type="dxa"/>
          </w:tcPr>
          <w:p>
            <w:pPr>
              <w:pStyle w:val="0"/>
            </w:pPr>
            <w:r>
              <w:rPr>
                <w:sz w:val="20"/>
              </w:rPr>
              <w:t xml:space="preserve">местного бюджета</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2.5</w:t>
            </w:r>
          </w:p>
        </w:tc>
        <w:tc>
          <w:tcPr>
            <w:tcW w:w="4950" w:type="dxa"/>
          </w:tcPr>
          <w:p>
            <w:pPr>
              <w:pStyle w:val="0"/>
            </w:pPr>
            <w:r>
              <w:rPr>
                <w:sz w:val="20"/>
              </w:rPr>
              <w:t xml:space="preserve">Плата за подключение</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2.6</w:t>
            </w:r>
          </w:p>
        </w:tc>
        <w:tc>
          <w:tcPr>
            <w:tcW w:w="4950" w:type="dxa"/>
          </w:tcPr>
          <w:p>
            <w:pPr>
              <w:pStyle w:val="0"/>
            </w:pPr>
            <w:r>
              <w:rPr>
                <w:sz w:val="20"/>
              </w:rPr>
              <w:t xml:space="preserve">Прочее</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3</w:t>
            </w:r>
          </w:p>
        </w:tc>
        <w:tc>
          <w:tcPr>
            <w:tcW w:w="4950" w:type="dxa"/>
          </w:tcPr>
          <w:p>
            <w:pPr>
              <w:pStyle w:val="0"/>
            </w:pPr>
            <w:r>
              <w:rPr>
                <w:sz w:val="20"/>
              </w:rPr>
              <w:t xml:space="preserve">Учтено при установлении тарифов</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3.1</w:t>
            </w:r>
          </w:p>
        </w:tc>
        <w:tc>
          <w:tcPr>
            <w:tcW w:w="4950" w:type="dxa"/>
          </w:tcPr>
          <w:p>
            <w:pPr>
              <w:pStyle w:val="0"/>
            </w:pPr>
            <w:r>
              <w:rPr>
                <w:sz w:val="20"/>
              </w:rPr>
              <w:t xml:space="preserve">Амортизация</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3.2</w:t>
            </w:r>
          </w:p>
        </w:tc>
        <w:tc>
          <w:tcPr>
            <w:tcW w:w="4950" w:type="dxa"/>
          </w:tcPr>
          <w:p>
            <w:pPr>
              <w:pStyle w:val="0"/>
            </w:pPr>
            <w:r>
              <w:rPr>
                <w:sz w:val="20"/>
              </w:rPr>
              <w:t xml:space="preserve">Прибыль</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990" w:type="dxa"/>
          </w:tcPr>
          <w:p>
            <w:pPr>
              <w:pStyle w:val="0"/>
              <w:jc w:val="center"/>
            </w:pPr>
            <w:r>
              <w:rPr>
                <w:sz w:val="20"/>
              </w:rPr>
              <w:t xml:space="preserve">4</w:t>
            </w:r>
          </w:p>
        </w:tc>
        <w:tc>
          <w:tcPr>
            <w:tcW w:w="4950" w:type="dxa"/>
          </w:tcPr>
          <w:p>
            <w:pPr>
              <w:pStyle w:val="0"/>
            </w:pPr>
            <w:r>
              <w:rPr>
                <w:sz w:val="20"/>
              </w:rPr>
              <w:t xml:space="preserve">Введено в эксплуатацию</w:t>
            </w:r>
          </w:p>
        </w:tc>
        <w:tc>
          <w:tcPr>
            <w:tcW w:w="1320" w:type="dxa"/>
          </w:tcPr>
          <w:p>
            <w:pPr>
              <w:pStyle w:val="0"/>
              <w:jc w:val="center"/>
            </w:pPr>
            <w:r>
              <w:rPr>
                <w:sz w:val="20"/>
              </w:rPr>
              <w:t xml:space="preserve">тыс. руб.</w:t>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p>
      <w:pPr>
        <w:pStyle w:val="0"/>
        <w:jc w:val="center"/>
      </w:pPr>
      <w:r>
        <w:rPr>
          <w:sz w:val="20"/>
        </w:rPr>
        <w:t xml:space="preserve">Индексы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0"/>
        <w:gridCol w:w="3795"/>
        <w:gridCol w:w="990"/>
        <w:gridCol w:w="825"/>
        <w:gridCol w:w="825"/>
        <w:gridCol w:w="825"/>
        <w:gridCol w:w="825"/>
        <w:gridCol w:w="660"/>
        <w:gridCol w:w="660"/>
        <w:gridCol w:w="660"/>
        <w:gridCol w:w="660"/>
        <w:gridCol w:w="660"/>
      </w:tblGrid>
      <w:tr>
        <w:tc>
          <w:tcPr>
            <w:tcW w:w="1980" w:type="dxa"/>
            <w:vMerge w:val="restart"/>
          </w:tcPr>
          <w:p>
            <w:pPr>
              <w:pStyle w:val="0"/>
              <w:jc w:val="center"/>
            </w:pPr>
            <w:r>
              <w:rPr>
                <w:sz w:val="20"/>
              </w:rPr>
              <w:t xml:space="preserve">N п/п</w:t>
            </w:r>
          </w:p>
        </w:tc>
        <w:tc>
          <w:tcPr>
            <w:tcW w:w="3795" w:type="dxa"/>
            <w:vMerge w:val="restart"/>
          </w:tcPr>
          <w:p>
            <w:pPr>
              <w:pStyle w:val="0"/>
              <w:jc w:val="center"/>
            </w:pPr>
            <w:r>
              <w:rPr>
                <w:sz w:val="20"/>
              </w:rPr>
              <w:t xml:space="preserve">Наименование</w:t>
            </w:r>
          </w:p>
        </w:tc>
        <w:tc>
          <w:tcPr>
            <w:tcW w:w="990" w:type="dxa"/>
            <w:vMerge w:val="restart"/>
          </w:tcPr>
          <w:p>
            <w:pPr>
              <w:pStyle w:val="0"/>
              <w:jc w:val="center"/>
            </w:pPr>
            <w:r>
              <w:rPr>
                <w:sz w:val="20"/>
              </w:rPr>
              <w:t xml:space="preserve">Еди- ница изме- рений</w:t>
            </w:r>
          </w:p>
        </w:tc>
        <w:tc>
          <w:tcPr>
            <w:gridSpan w:val="2"/>
            <w:tcW w:w="1650" w:type="dxa"/>
          </w:tcPr>
          <w:p>
            <w:pPr>
              <w:pStyle w:val="0"/>
              <w:jc w:val="center"/>
            </w:pPr>
            <w:r>
              <w:rPr>
                <w:sz w:val="20"/>
              </w:rPr>
              <w:t xml:space="preserve">Истекший год (i-2)</w:t>
            </w:r>
          </w:p>
        </w:tc>
        <w:tc>
          <w:tcPr>
            <w:gridSpan w:val="2"/>
            <w:tcW w:w="1650" w:type="dxa"/>
          </w:tcPr>
          <w:p>
            <w:pPr>
              <w:pStyle w:val="0"/>
              <w:jc w:val="center"/>
            </w:pPr>
            <w:r>
              <w:rPr>
                <w:sz w:val="20"/>
              </w:rPr>
              <w:t xml:space="preserve">Текущий год (i-1)</w:t>
            </w:r>
          </w:p>
        </w:tc>
        <w:tc>
          <w:tcPr>
            <w:tcW w:w="660" w:type="dxa"/>
            <w:vMerge w:val="restart"/>
          </w:tcPr>
          <w:p>
            <w:pPr>
              <w:pStyle w:val="0"/>
              <w:jc w:val="center"/>
            </w:pPr>
            <w:r>
              <w:rPr>
                <w:sz w:val="20"/>
              </w:rPr>
              <w:t xml:space="preserve">1-й год</w:t>
            </w:r>
          </w:p>
        </w:tc>
        <w:tc>
          <w:tcPr>
            <w:tcW w:w="660" w:type="dxa"/>
            <w:vMerge w:val="restart"/>
          </w:tcPr>
          <w:p>
            <w:pPr>
              <w:pStyle w:val="0"/>
              <w:jc w:val="center"/>
            </w:pPr>
            <w:r>
              <w:rPr>
                <w:sz w:val="20"/>
              </w:rPr>
              <w:t xml:space="preserve">2-й год</w:t>
            </w:r>
          </w:p>
        </w:tc>
        <w:tc>
          <w:tcPr>
            <w:tcW w:w="660" w:type="dxa"/>
            <w:vMerge w:val="restart"/>
          </w:tcPr>
          <w:p>
            <w:pPr>
              <w:pStyle w:val="0"/>
              <w:jc w:val="center"/>
            </w:pPr>
            <w:r>
              <w:rPr>
                <w:sz w:val="20"/>
              </w:rPr>
              <w:t xml:space="preserve">3-й год</w:t>
            </w:r>
          </w:p>
        </w:tc>
        <w:tc>
          <w:tcPr>
            <w:tcW w:w="660" w:type="dxa"/>
            <w:vMerge w:val="restart"/>
          </w:tcPr>
          <w:p>
            <w:pPr>
              <w:pStyle w:val="0"/>
              <w:jc w:val="center"/>
            </w:pPr>
            <w:r>
              <w:rPr>
                <w:sz w:val="20"/>
              </w:rPr>
              <w:t xml:space="preserve">4-й год</w:t>
            </w:r>
          </w:p>
        </w:tc>
        <w:tc>
          <w:tcPr>
            <w:tcW w:w="660" w:type="dxa"/>
            <w:vMerge w:val="restart"/>
          </w:tcPr>
          <w:p>
            <w:pPr>
              <w:pStyle w:val="0"/>
              <w:jc w:val="center"/>
            </w:pPr>
            <w:r>
              <w:rPr>
                <w:sz w:val="20"/>
              </w:rPr>
              <w:t xml:space="preserve">5-й год</w:t>
            </w:r>
          </w:p>
        </w:tc>
      </w:tr>
      <w:tr>
        <w:tc>
          <w:tcPr>
            <w:vMerge w:val="continue"/>
          </w:tcPr>
          <w:p/>
        </w:tc>
        <w:tc>
          <w:tcPr>
            <w:vMerge w:val="continue"/>
          </w:tcPr>
          <w:p/>
        </w:tc>
        <w:tc>
          <w:tcPr>
            <w:vMerge w:val="continue"/>
          </w:tcPr>
          <w:p/>
        </w:tc>
        <w:tc>
          <w:tcPr>
            <w:tcW w:w="825" w:type="dxa"/>
          </w:tcPr>
          <w:p>
            <w:pPr>
              <w:pStyle w:val="0"/>
              <w:jc w:val="center"/>
            </w:pPr>
            <w:r>
              <w:rPr>
                <w:sz w:val="20"/>
              </w:rPr>
              <w:t xml:space="preserve">план</w:t>
            </w:r>
          </w:p>
        </w:tc>
        <w:tc>
          <w:tcPr>
            <w:tcW w:w="825" w:type="dxa"/>
          </w:tcPr>
          <w:p>
            <w:pPr>
              <w:pStyle w:val="0"/>
              <w:jc w:val="center"/>
            </w:pPr>
            <w:r>
              <w:rPr>
                <w:sz w:val="20"/>
              </w:rPr>
              <w:t xml:space="preserve">факт</w:t>
            </w:r>
          </w:p>
        </w:tc>
        <w:tc>
          <w:tcPr>
            <w:tcW w:w="825" w:type="dxa"/>
          </w:tcPr>
          <w:p>
            <w:pPr>
              <w:pStyle w:val="0"/>
              <w:jc w:val="center"/>
            </w:pPr>
            <w:r>
              <w:rPr>
                <w:sz w:val="20"/>
              </w:rPr>
              <w:t xml:space="preserve">план</w:t>
            </w:r>
          </w:p>
        </w:tc>
        <w:tc>
          <w:tcPr>
            <w:tcW w:w="825" w:type="dxa"/>
          </w:tcPr>
          <w:p>
            <w:pPr>
              <w:pStyle w:val="0"/>
              <w:jc w:val="center"/>
            </w:pPr>
            <w:r>
              <w:rPr>
                <w:sz w:val="20"/>
              </w:rPr>
              <w:t xml:space="preserve">ожид</w:t>
            </w:r>
          </w:p>
        </w:tc>
        <w:tc>
          <w:tcPr>
            <w:vMerge w:val="continue"/>
          </w:tcPr>
          <w:p/>
        </w:tc>
        <w:tc>
          <w:tcPr>
            <w:vMerge w:val="continue"/>
          </w:tcPr>
          <w:p/>
        </w:tc>
        <w:tc>
          <w:tcPr>
            <w:vMerge w:val="continue"/>
          </w:tcPr>
          <w:p/>
        </w:tc>
        <w:tc>
          <w:tcPr>
            <w:vMerge w:val="continue"/>
          </w:tcPr>
          <w:p/>
        </w:tc>
        <w:tc>
          <w:tcPr>
            <w:vMerge w:val="continue"/>
          </w:tcPr>
          <w:p/>
        </w:tc>
      </w:tr>
      <w:tr>
        <w:tc>
          <w:tcPr>
            <w:tcW w:w="1980" w:type="dxa"/>
          </w:tcPr>
          <w:p>
            <w:pPr>
              <w:pStyle w:val="0"/>
              <w:jc w:val="center"/>
            </w:pPr>
            <w:r>
              <w:rPr>
                <w:sz w:val="20"/>
              </w:rPr>
              <w:t xml:space="preserve">1</w:t>
            </w:r>
          </w:p>
        </w:tc>
        <w:tc>
          <w:tcPr>
            <w:tcW w:w="3795" w:type="dxa"/>
          </w:tcPr>
          <w:p>
            <w:pPr>
              <w:pStyle w:val="0"/>
              <w:jc w:val="center"/>
            </w:pPr>
            <w:r>
              <w:rPr>
                <w:sz w:val="20"/>
              </w:rPr>
              <w:t xml:space="preserve">2</w:t>
            </w:r>
          </w:p>
        </w:tc>
        <w:tc>
          <w:tcPr>
            <w:tcW w:w="990" w:type="dxa"/>
          </w:tcPr>
          <w:p>
            <w:pPr>
              <w:pStyle w:val="0"/>
              <w:jc w:val="center"/>
            </w:pPr>
            <w:r>
              <w:rPr>
                <w:sz w:val="20"/>
              </w:rPr>
              <w:t xml:space="preserve">3</w:t>
            </w:r>
          </w:p>
        </w:tc>
        <w:tc>
          <w:tcPr>
            <w:tcW w:w="825" w:type="dxa"/>
          </w:tcPr>
          <w:p>
            <w:pPr>
              <w:pStyle w:val="0"/>
              <w:jc w:val="center"/>
            </w:pPr>
            <w:r>
              <w:rPr>
                <w:sz w:val="20"/>
              </w:rPr>
              <w:t xml:space="preserve">4</w:t>
            </w:r>
          </w:p>
        </w:tc>
        <w:tc>
          <w:tcPr>
            <w:tcW w:w="825" w:type="dxa"/>
          </w:tcPr>
          <w:p>
            <w:pPr>
              <w:pStyle w:val="0"/>
              <w:jc w:val="center"/>
            </w:pPr>
            <w:r>
              <w:rPr>
                <w:sz w:val="20"/>
              </w:rPr>
              <w:t xml:space="preserve">5</w:t>
            </w:r>
          </w:p>
        </w:tc>
        <w:tc>
          <w:tcPr>
            <w:tcW w:w="825" w:type="dxa"/>
          </w:tcPr>
          <w:p>
            <w:pPr>
              <w:pStyle w:val="0"/>
              <w:jc w:val="center"/>
            </w:pPr>
            <w:r>
              <w:rPr>
                <w:sz w:val="20"/>
              </w:rPr>
              <w:t xml:space="preserve">6</w:t>
            </w:r>
          </w:p>
        </w:tc>
        <w:tc>
          <w:tcPr>
            <w:tcW w:w="825" w:type="dxa"/>
          </w:tcPr>
          <w:p>
            <w:pPr>
              <w:pStyle w:val="0"/>
              <w:jc w:val="center"/>
            </w:pPr>
            <w:r>
              <w:rPr>
                <w:sz w:val="20"/>
              </w:rPr>
              <w:t xml:space="preserve">7</w:t>
            </w:r>
          </w:p>
        </w:tc>
        <w:tc>
          <w:tcPr>
            <w:tcW w:w="660" w:type="dxa"/>
          </w:tcPr>
          <w:p>
            <w:pPr>
              <w:pStyle w:val="0"/>
              <w:jc w:val="center"/>
            </w:pPr>
            <w:r>
              <w:rPr>
                <w:sz w:val="20"/>
              </w:rPr>
              <w:t xml:space="preserve">8</w:t>
            </w:r>
          </w:p>
        </w:tc>
        <w:tc>
          <w:tcPr>
            <w:tcW w:w="660" w:type="dxa"/>
          </w:tcPr>
          <w:p>
            <w:pPr>
              <w:pStyle w:val="0"/>
              <w:jc w:val="center"/>
            </w:pPr>
            <w:r>
              <w:rPr>
                <w:sz w:val="20"/>
              </w:rPr>
              <w:t xml:space="preserve">9</w:t>
            </w:r>
          </w:p>
        </w:tc>
        <w:tc>
          <w:tcPr>
            <w:tcW w:w="660" w:type="dxa"/>
          </w:tcPr>
          <w:p>
            <w:pPr>
              <w:pStyle w:val="0"/>
              <w:jc w:val="center"/>
            </w:pPr>
            <w:r>
              <w:rPr>
                <w:sz w:val="20"/>
              </w:rPr>
              <w:t xml:space="preserve">10</w:t>
            </w:r>
          </w:p>
        </w:tc>
        <w:tc>
          <w:tcPr>
            <w:tcW w:w="660" w:type="dxa"/>
          </w:tcPr>
          <w:p>
            <w:pPr>
              <w:pStyle w:val="0"/>
              <w:jc w:val="center"/>
            </w:pPr>
            <w:r>
              <w:rPr>
                <w:sz w:val="20"/>
              </w:rPr>
              <w:t xml:space="preserve">11</w:t>
            </w:r>
          </w:p>
        </w:tc>
        <w:tc>
          <w:tcPr>
            <w:tcW w:w="660" w:type="dxa"/>
          </w:tcPr>
          <w:p>
            <w:pPr>
              <w:pStyle w:val="0"/>
              <w:jc w:val="center"/>
            </w:pPr>
            <w:r>
              <w:rPr>
                <w:sz w:val="20"/>
              </w:rPr>
              <w:t xml:space="preserve">12</w:t>
            </w:r>
          </w:p>
        </w:tc>
      </w:tr>
      <w:tr>
        <w:tc>
          <w:tcPr>
            <w:tcW w:w="1980" w:type="dxa"/>
          </w:tcPr>
          <w:p>
            <w:pPr>
              <w:pStyle w:val="0"/>
              <w:jc w:val="center"/>
            </w:pPr>
            <w:r>
              <w:rPr>
                <w:sz w:val="20"/>
              </w:rPr>
              <w:t xml:space="preserve">1</w:t>
            </w:r>
          </w:p>
        </w:tc>
        <w:tc>
          <w:tcPr>
            <w:tcW w:w="3795" w:type="dxa"/>
          </w:tcPr>
          <w:p>
            <w:pPr>
              <w:pStyle w:val="0"/>
            </w:pPr>
            <w:r>
              <w:rPr>
                <w:sz w:val="20"/>
              </w:rPr>
              <w:t xml:space="preserve">Индекс потребительских цен</w:t>
            </w:r>
          </w:p>
        </w:tc>
        <w:tc>
          <w:tcPr>
            <w:tcW w:w="990"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2</w:t>
            </w:r>
          </w:p>
        </w:tc>
        <w:tc>
          <w:tcPr>
            <w:tcW w:w="3795" w:type="dxa"/>
          </w:tcPr>
          <w:p>
            <w:pPr>
              <w:pStyle w:val="0"/>
            </w:pPr>
            <w:r>
              <w:rPr>
                <w:sz w:val="20"/>
              </w:rPr>
              <w:t xml:space="preserve">Индекс роста номинальной заработной платы</w:t>
            </w:r>
          </w:p>
        </w:tc>
        <w:tc>
          <w:tcPr>
            <w:tcW w:w="990"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w:t>
            </w:r>
          </w:p>
        </w:tc>
        <w:tc>
          <w:tcPr>
            <w:tcW w:w="3795" w:type="dxa"/>
          </w:tcPr>
          <w:p>
            <w:pPr>
              <w:pStyle w:val="0"/>
            </w:pPr>
            <w:r>
              <w:rPr>
                <w:sz w:val="20"/>
              </w:rPr>
              <w:t xml:space="preserve">Индекс цен на электрическую энергию</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w:t>
            </w:r>
          </w:p>
        </w:tc>
        <w:tc>
          <w:tcPr>
            <w:tcW w:w="3795" w:type="dxa"/>
          </w:tcPr>
          <w:p>
            <w:pPr>
              <w:pStyle w:val="0"/>
              <w:ind w:left="283"/>
            </w:pPr>
            <w:r>
              <w:rPr>
                <w:sz w:val="20"/>
              </w:rPr>
              <w:t xml:space="preserve">Цена электрической энергии</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A</w:t>
            </w:r>
          </w:p>
        </w:tc>
        <w:tc>
          <w:tcPr>
            <w:tcW w:w="3795" w:type="dxa"/>
          </w:tcPr>
          <w:p>
            <w:pPr>
              <w:pStyle w:val="0"/>
            </w:pPr>
            <w:r>
              <w:rPr>
                <w:sz w:val="20"/>
              </w:rPr>
              <w:t xml:space="preserve">Поставщик</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3.1.1</w:t>
            </w:r>
          </w:p>
        </w:tc>
        <w:tc>
          <w:tcPr>
            <w:tcW w:w="3795" w:type="dxa"/>
          </w:tcPr>
          <w:p>
            <w:pPr>
              <w:pStyle w:val="0"/>
            </w:pPr>
            <w:r>
              <w:rPr>
                <w:sz w:val="20"/>
              </w:rPr>
              <w:t xml:space="preserve">Одноставочный тариф</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3.1.1.1</w:t>
            </w:r>
          </w:p>
        </w:tc>
        <w:tc>
          <w:tcPr>
            <w:tcW w:w="3795" w:type="dxa"/>
          </w:tcPr>
          <w:p>
            <w:pPr>
              <w:pStyle w:val="0"/>
              <w:ind w:left="283"/>
            </w:pPr>
            <w:r>
              <w:rPr>
                <w:sz w:val="20"/>
              </w:rPr>
              <w:t xml:space="preserve">высокое напряжение</w:t>
            </w:r>
          </w:p>
        </w:tc>
        <w:tc>
          <w:tcPr>
            <w:tcW w:w="990" w:type="dxa"/>
          </w:tcPr>
          <w:p>
            <w:pPr>
              <w:pStyle w:val="0"/>
              <w:jc w:val="center"/>
            </w:pPr>
            <w:r>
              <w:rPr>
                <w:sz w:val="20"/>
              </w:rPr>
              <w:t xml:space="preserve">руб./ тыс. кВт-ч</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3.1.1.2</w:t>
            </w:r>
          </w:p>
        </w:tc>
        <w:tc>
          <w:tcPr>
            <w:tcW w:w="3795" w:type="dxa"/>
          </w:tcPr>
          <w:p>
            <w:pPr>
              <w:pStyle w:val="0"/>
              <w:ind w:left="283"/>
            </w:pPr>
            <w:r>
              <w:rPr>
                <w:sz w:val="20"/>
              </w:rPr>
              <w:t xml:space="preserve">среднее напряжение 1</w:t>
            </w:r>
          </w:p>
        </w:tc>
        <w:tc>
          <w:tcPr>
            <w:tcW w:w="990" w:type="dxa"/>
          </w:tcPr>
          <w:p>
            <w:pPr>
              <w:pStyle w:val="0"/>
              <w:jc w:val="center"/>
            </w:pPr>
            <w:r>
              <w:rPr>
                <w:sz w:val="20"/>
              </w:rPr>
              <w:t xml:space="preserve">руб./ тыс. кВт-ч</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3.1.1.3</w:t>
            </w:r>
          </w:p>
        </w:tc>
        <w:tc>
          <w:tcPr>
            <w:tcW w:w="3795" w:type="dxa"/>
          </w:tcPr>
          <w:p>
            <w:pPr>
              <w:pStyle w:val="0"/>
              <w:ind w:left="283"/>
            </w:pPr>
            <w:r>
              <w:rPr>
                <w:sz w:val="20"/>
              </w:rPr>
              <w:t xml:space="preserve">среднее напряжение 2</w:t>
            </w:r>
          </w:p>
        </w:tc>
        <w:tc>
          <w:tcPr>
            <w:tcW w:w="990" w:type="dxa"/>
          </w:tcPr>
          <w:p>
            <w:pPr>
              <w:pStyle w:val="0"/>
              <w:jc w:val="center"/>
            </w:pPr>
            <w:r>
              <w:rPr>
                <w:sz w:val="20"/>
              </w:rPr>
              <w:t xml:space="preserve">руб./ тыс. кВт-ч</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3.1.1.4</w:t>
            </w:r>
          </w:p>
        </w:tc>
        <w:tc>
          <w:tcPr>
            <w:tcW w:w="3795" w:type="dxa"/>
          </w:tcPr>
          <w:p>
            <w:pPr>
              <w:pStyle w:val="0"/>
              <w:ind w:left="283"/>
            </w:pPr>
            <w:r>
              <w:rPr>
                <w:sz w:val="20"/>
              </w:rPr>
              <w:t xml:space="preserve">низкое напряжение</w:t>
            </w:r>
          </w:p>
        </w:tc>
        <w:tc>
          <w:tcPr>
            <w:tcW w:w="990" w:type="dxa"/>
          </w:tcPr>
          <w:p>
            <w:pPr>
              <w:pStyle w:val="0"/>
              <w:jc w:val="center"/>
            </w:pPr>
            <w:r>
              <w:rPr>
                <w:sz w:val="20"/>
              </w:rPr>
              <w:t xml:space="preserve">руб./ тыс. кВт-ч</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3.1.1.5</w:t>
            </w:r>
          </w:p>
        </w:tc>
        <w:tc>
          <w:tcPr>
            <w:tcW w:w="3795" w:type="dxa"/>
          </w:tcPr>
          <w:p>
            <w:pPr>
              <w:pStyle w:val="0"/>
              <w:ind w:left="283"/>
            </w:pPr>
            <w:r>
              <w:rPr>
                <w:sz w:val="20"/>
              </w:rPr>
              <w:t xml:space="preserve">без разбивки по напряжению</w:t>
            </w:r>
          </w:p>
        </w:tc>
        <w:tc>
          <w:tcPr>
            <w:tcW w:w="990" w:type="dxa"/>
          </w:tcPr>
          <w:p>
            <w:pPr>
              <w:pStyle w:val="0"/>
              <w:jc w:val="center"/>
            </w:pPr>
            <w:r>
              <w:rPr>
                <w:sz w:val="20"/>
              </w:rPr>
              <w:t xml:space="preserve">руб./ тыс. кВт-ч</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w:t>
            </w:r>
          </w:p>
        </w:tc>
        <w:tc>
          <w:tcPr>
            <w:tcW w:w="3795" w:type="dxa"/>
          </w:tcPr>
          <w:p>
            <w:pPr>
              <w:pStyle w:val="0"/>
            </w:pPr>
            <w:r>
              <w:rPr>
                <w:sz w:val="20"/>
              </w:rPr>
              <w:t xml:space="preserve">Двуставочный тариф</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3.1.2.1</w:t>
            </w:r>
          </w:p>
        </w:tc>
        <w:tc>
          <w:tcPr>
            <w:tcW w:w="3795" w:type="dxa"/>
          </w:tcPr>
          <w:p>
            <w:pPr>
              <w:pStyle w:val="0"/>
            </w:pPr>
            <w:r>
              <w:rPr>
                <w:sz w:val="20"/>
              </w:rPr>
              <w:t xml:space="preserve">Тариф на активную электроэнергию при двухставочном тарифе</w:t>
            </w:r>
          </w:p>
        </w:tc>
        <w:tc>
          <w:tcPr>
            <w:tcW w:w="990" w:type="dxa"/>
          </w:tcPr>
          <w:p>
            <w:pPr>
              <w:pStyle w:val="0"/>
              <w:jc w:val="center"/>
            </w:pPr>
            <w:r>
              <w:rPr>
                <w:sz w:val="20"/>
              </w:rPr>
              <w:t xml:space="preserve">руб./ тыс. кВт-ч</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3.1.2.1.1</w:t>
            </w:r>
          </w:p>
        </w:tc>
        <w:tc>
          <w:tcPr>
            <w:tcW w:w="3795" w:type="dxa"/>
          </w:tcPr>
          <w:p>
            <w:pPr>
              <w:pStyle w:val="0"/>
              <w:ind w:left="283"/>
            </w:pPr>
            <w:r>
              <w:rPr>
                <w:sz w:val="20"/>
              </w:rPr>
              <w:t xml:space="preserve">высокое напряжение</w:t>
            </w:r>
          </w:p>
        </w:tc>
        <w:tc>
          <w:tcPr>
            <w:tcW w:w="990" w:type="dxa"/>
          </w:tcPr>
          <w:p>
            <w:pPr>
              <w:pStyle w:val="0"/>
              <w:jc w:val="center"/>
            </w:pPr>
            <w:r>
              <w:rPr>
                <w:sz w:val="20"/>
              </w:rPr>
              <w:t xml:space="preserve">руб./ тыс. кВт-ч</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3.1.2.1.2</w:t>
            </w:r>
          </w:p>
        </w:tc>
        <w:tc>
          <w:tcPr>
            <w:tcW w:w="3795" w:type="dxa"/>
          </w:tcPr>
          <w:p>
            <w:pPr>
              <w:pStyle w:val="0"/>
              <w:ind w:left="283"/>
            </w:pPr>
            <w:r>
              <w:rPr>
                <w:sz w:val="20"/>
              </w:rPr>
              <w:t xml:space="preserve">среднее напряжение 1</w:t>
            </w:r>
          </w:p>
        </w:tc>
        <w:tc>
          <w:tcPr>
            <w:tcW w:w="990" w:type="dxa"/>
          </w:tcPr>
          <w:p>
            <w:pPr>
              <w:pStyle w:val="0"/>
              <w:jc w:val="center"/>
            </w:pPr>
            <w:r>
              <w:rPr>
                <w:sz w:val="20"/>
              </w:rPr>
              <w:t xml:space="preserve">руб./ тыс. кВт-ч</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3.1.2.1.3</w:t>
            </w:r>
          </w:p>
        </w:tc>
        <w:tc>
          <w:tcPr>
            <w:tcW w:w="3795" w:type="dxa"/>
          </w:tcPr>
          <w:p>
            <w:pPr>
              <w:pStyle w:val="0"/>
              <w:ind w:left="283"/>
            </w:pPr>
            <w:r>
              <w:rPr>
                <w:sz w:val="20"/>
              </w:rPr>
              <w:t xml:space="preserve">среднее напряжение 2</w:t>
            </w:r>
          </w:p>
        </w:tc>
        <w:tc>
          <w:tcPr>
            <w:tcW w:w="990" w:type="dxa"/>
          </w:tcPr>
          <w:p>
            <w:pPr>
              <w:pStyle w:val="0"/>
              <w:jc w:val="center"/>
            </w:pPr>
            <w:r>
              <w:rPr>
                <w:sz w:val="20"/>
              </w:rPr>
              <w:t xml:space="preserve">руб./ тыс. кВт-ч</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3.1.2.1.4</w:t>
            </w:r>
          </w:p>
        </w:tc>
        <w:tc>
          <w:tcPr>
            <w:tcW w:w="3795" w:type="dxa"/>
          </w:tcPr>
          <w:p>
            <w:pPr>
              <w:pStyle w:val="0"/>
              <w:ind w:left="283"/>
            </w:pPr>
            <w:r>
              <w:rPr>
                <w:sz w:val="20"/>
              </w:rPr>
              <w:t xml:space="preserve">низкое напряжение</w:t>
            </w:r>
          </w:p>
        </w:tc>
        <w:tc>
          <w:tcPr>
            <w:tcW w:w="990" w:type="dxa"/>
          </w:tcPr>
          <w:p>
            <w:pPr>
              <w:pStyle w:val="0"/>
              <w:jc w:val="center"/>
            </w:pPr>
            <w:r>
              <w:rPr>
                <w:sz w:val="20"/>
              </w:rPr>
              <w:t xml:space="preserve">руб./ тыс. кВт-ч</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3.1.2.1.5</w:t>
            </w:r>
          </w:p>
        </w:tc>
        <w:tc>
          <w:tcPr>
            <w:tcW w:w="3795" w:type="dxa"/>
          </w:tcPr>
          <w:p>
            <w:pPr>
              <w:pStyle w:val="0"/>
              <w:ind w:left="283"/>
            </w:pPr>
            <w:r>
              <w:rPr>
                <w:sz w:val="20"/>
              </w:rPr>
              <w:t xml:space="preserve">генерация напряжения</w:t>
            </w:r>
          </w:p>
        </w:tc>
        <w:tc>
          <w:tcPr>
            <w:tcW w:w="990" w:type="dxa"/>
          </w:tcPr>
          <w:p>
            <w:pPr>
              <w:pStyle w:val="0"/>
              <w:jc w:val="center"/>
            </w:pPr>
            <w:r>
              <w:rPr>
                <w:sz w:val="20"/>
              </w:rPr>
              <w:t xml:space="preserve">руб./ тыс. кВт-ч</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3.1.2.2</w:t>
            </w:r>
          </w:p>
        </w:tc>
        <w:tc>
          <w:tcPr>
            <w:tcW w:w="3795" w:type="dxa"/>
          </w:tcPr>
          <w:p>
            <w:pPr>
              <w:pStyle w:val="0"/>
            </w:pPr>
            <w:r>
              <w:rPr>
                <w:sz w:val="20"/>
              </w:rPr>
              <w:t xml:space="preserve">Цена на мощность</w:t>
            </w:r>
          </w:p>
        </w:tc>
        <w:tc>
          <w:tcPr>
            <w:tcW w:w="990"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3.1.2.2.1</w:t>
            </w:r>
          </w:p>
        </w:tc>
        <w:tc>
          <w:tcPr>
            <w:tcW w:w="3795" w:type="dxa"/>
          </w:tcPr>
          <w:p>
            <w:pPr>
              <w:pStyle w:val="0"/>
              <w:ind w:left="283"/>
            </w:pPr>
            <w:r>
              <w:rPr>
                <w:sz w:val="20"/>
              </w:rPr>
              <w:t xml:space="preserve">высокое напряжение</w:t>
            </w:r>
          </w:p>
        </w:tc>
        <w:tc>
          <w:tcPr>
            <w:tcW w:w="990"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3.1.2.2.2</w:t>
            </w:r>
          </w:p>
        </w:tc>
        <w:tc>
          <w:tcPr>
            <w:tcW w:w="3795" w:type="dxa"/>
          </w:tcPr>
          <w:p>
            <w:pPr>
              <w:pStyle w:val="0"/>
              <w:ind w:left="283"/>
            </w:pPr>
            <w:r>
              <w:rPr>
                <w:sz w:val="20"/>
              </w:rPr>
              <w:t xml:space="preserve">среднее напряжение 1</w:t>
            </w:r>
          </w:p>
        </w:tc>
        <w:tc>
          <w:tcPr>
            <w:tcW w:w="990"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3.1.2.2.3</w:t>
            </w:r>
          </w:p>
        </w:tc>
        <w:tc>
          <w:tcPr>
            <w:tcW w:w="3795" w:type="dxa"/>
          </w:tcPr>
          <w:p>
            <w:pPr>
              <w:pStyle w:val="0"/>
              <w:ind w:left="283"/>
            </w:pPr>
            <w:r>
              <w:rPr>
                <w:sz w:val="20"/>
              </w:rPr>
              <w:t xml:space="preserve">среднее напряжение 2</w:t>
            </w:r>
          </w:p>
        </w:tc>
        <w:tc>
          <w:tcPr>
            <w:tcW w:w="990"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3.1.2.2.4</w:t>
            </w:r>
          </w:p>
        </w:tc>
        <w:tc>
          <w:tcPr>
            <w:tcW w:w="3795" w:type="dxa"/>
          </w:tcPr>
          <w:p>
            <w:pPr>
              <w:pStyle w:val="0"/>
              <w:ind w:left="283"/>
            </w:pPr>
            <w:r>
              <w:rPr>
                <w:sz w:val="20"/>
              </w:rPr>
              <w:t xml:space="preserve">низкое напряжение</w:t>
            </w:r>
          </w:p>
        </w:tc>
        <w:tc>
          <w:tcPr>
            <w:tcW w:w="990"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3.1.2.2.5</w:t>
            </w:r>
          </w:p>
        </w:tc>
        <w:tc>
          <w:tcPr>
            <w:tcW w:w="3795" w:type="dxa"/>
          </w:tcPr>
          <w:p>
            <w:pPr>
              <w:pStyle w:val="0"/>
              <w:ind w:left="283"/>
            </w:pPr>
            <w:r>
              <w:rPr>
                <w:sz w:val="20"/>
              </w:rPr>
              <w:t xml:space="preserve">генерация напряжения</w:t>
            </w:r>
          </w:p>
        </w:tc>
        <w:tc>
          <w:tcPr>
            <w:tcW w:w="990"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B</w:t>
            </w:r>
          </w:p>
        </w:tc>
        <w:tc>
          <w:tcPr>
            <w:tcW w:w="3795" w:type="dxa"/>
          </w:tcPr>
          <w:p>
            <w:pPr>
              <w:pStyle w:val="0"/>
            </w:pPr>
            <w:r>
              <w:rPr>
                <w:sz w:val="20"/>
              </w:rPr>
              <w:t xml:space="preserve">Поставщик</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N</w:t>
            </w:r>
          </w:p>
        </w:tc>
        <w:tc>
          <w:tcPr>
            <w:tcW w:w="3795" w:type="dxa"/>
          </w:tcPr>
          <w:p>
            <w:pPr>
              <w:pStyle w:val="0"/>
            </w:pPr>
            <w:r>
              <w:rPr>
                <w:sz w:val="20"/>
              </w:rPr>
              <w:t xml:space="preserve">Поставщик</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4</w:t>
            </w:r>
          </w:p>
        </w:tc>
        <w:tc>
          <w:tcPr>
            <w:tcW w:w="3795" w:type="dxa"/>
          </w:tcPr>
          <w:p>
            <w:pPr>
              <w:pStyle w:val="0"/>
            </w:pPr>
            <w:r>
              <w:rPr>
                <w:sz w:val="20"/>
              </w:rPr>
              <w:t xml:space="preserve">Индекс цен на покупную воду</w:t>
            </w:r>
          </w:p>
        </w:tc>
        <w:tc>
          <w:tcPr>
            <w:tcW w:w="990"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4.1</w:t>
            </w:r>
          </w:p>
        </w:tc>
        <w:tc>
          <w:tcPr>
            <w:tcW w:w="3795" w:type="dxa"/>
          </w:tcPr>
          <w:p>
            <w:pPr>
              <w:pStyle w:val="0"/>
              <w:ind w:left="283"/>
            </w:pPr>
            <w:r>
              <w:rPr>
                <w:sz w:val="20"/>
              </w:rPr>
              <w:t xml:space="preserve">питьевую воду</w:t>
            </w:r>
          </w:p>
        </w:tc>
        <w:tc>
          <w:tcPr>
            <w:tcW w:w="990"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4.2</w:t>
            </w:r>
          </w:p>
        </w:tc>
        <w:tc>
          <w:tcPr>
            <w:tcW w:w="3795" w:type="dxa"/>
          </w:tcPr>
          <w:p>
            <w:pPr>
              <w:pStyle w:val="0"/>
              <w:ind w:left="283"/>
            </w:pPr>
            <w:r>
              <w:rPr>
                <w:sz w:val="20"/>
              </w:rPr>
              <w:t xml:space="preserve">техническую воду</w:t>
            </w:r>
          </w:p>
        </w:tc>
        <w:tc>
          <w:tcPr>
            <w:tcW w:w="990"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4.3</w:t>
            </w:r>
          </w:p>
        </w:tc>
        <w:tc>
          <w:tcPr>
            <w:tcW w:w="3795" w:type="dxa"/>
          </w:tcPr>
          <w:p>
            <w:pPr>
              <w:pStyle w:val="0"/>
              <w:ind w:left="283"/>
            </w:pPr>
            <w:r>
              <w:rPr>
                <w:sz w:val="20"/>
              </w:rPr>
              <w:t xml:space="preserve">горячую воду</w:t>
            </w:r>
          </w:p>
        </w:tc>
        <w:tc>
          <w:tcPr>
            <w:tcW w:w="990"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5</w:t>
            </w:r>
          </w:p>
        </w:tc>
        <w:tc>
          <w:tcPr>
            <w:tcW w:w="3795" w:type="dxa"/>
          </w:tcPr>
          <w:p>
            <w:pPr>
              <w:pStyle w:val="0"/>
            </w:pPr>
            <w:r>
              <w:rPr>
                <w:sz w:val="20"/>
              </w:rPr>
              <w:t xml:space="preserve">Индекс цен на тепловую энергию</w:t>
            </w:r>
          </w:p>
        </w:tc>
        <w:tc>
          <w:tcPr>
            <w:tcW w:w="990"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5.1</w:t>
            </w:r>
          </w:p>
        </w:tc>
        <w:tc>
          <w:tcPr>
            <w:tcW w:w="3795" w:type="dxa"/>
          </w:tcPr>
          <w:p>
            <w:pPr>
              <w:pStyle w:val="0"/>
              <w:ind w:left="283"/>
            </w:pPr>
            <w:r>
              <w:rPr>
                <w:sz w:val="20"/>
              </w:rPr>
              <w:t xml:space="preserve">Цена тепловой энергии</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6</w:t>
            </w:r>
          </w:p>
        </w:tc>
        <w:tc>
          <w:tcPr>
            <w:tcW w:w="3795" w:type="dxa"/>
          </w:tcPr>
          <w:p>
            <w:pPr>
              <w:pStyle w:val="0"/>
            </w:pPr>
            <w:r>
              <w:rPr>
                <w:sz w:val="20"/>
              </w:rPr>
              <w:t xml:space="preserve">Индекс цен на тепловую мощность</w:t>
            </w:r>
          </w:p>
        </w:tc>
        <w:tc>
          <w:tcPr>
            <w:tcW w:w="990"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6.1</w:t>
            </w:r>
          </w:p>
        </w:tc>
        <w:tc>
          <w:tcPr>
            <w:tcW w:w="3795" w:type="dxa"/>
          </w:tcPr>
          <w:p>
            <w:pPr>
              <w:pStyle w:val="0"/>
              <w:ind w:left="283"/>
            </w:pPr>
            <w:r>
              <w:rPr>
                <w:sz w:val="20"/>
              </w:rPr>
              <w:t xml:space="preserve">Цена тепловой мощности</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7</w:t>
            </w:r>
          </w:p>
        </w:tc>
        <w:tc>
          <w:tcPr>
            <w:tcW w:w="3795" w:type="dxa"/>
          </w:tcPr>
          <w:p>
            <w:pPr>
              <w:pStyle w:val="0"/>
            </w:pPr>
            <w:r>
              <w:rPr>
                <w:sz w:val="20"/>
              </w:rPr>
              <w:t xml:space="preserve">Индекс цен на теплоноситель</w:t>
            </w:r>
          </w:p>
        </w:tc>
        <w:tc>
          <w:tcPr>
            <w:tcW w:w="990"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7.1</w:t>
            </w:r>
          </w:p>
        </w:tc>
        <w:tc>
          <w:tcPr>
            <w:tcW w:w="3795" w:type="dxa"/>
          </w:tcPr>
          <w:p>
            <w:pPr>
              <w:pStyle w:val="0"/>
              <w:ind w:left="283"/>
            </w:pPr>
            <w:r>
              <w:rPr>
                <w:sz w:val="20"/>
              </w:rPr>
              <w:t xml:space="preserve">Цена на теплоноситель</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8</w:t>
            </w:r>
          </w:p>
        </w:tc>
        <w:tc>
          <w:tcPr>
            <w:tcW w:w="3795" w:type="dxa"/>
          </w:tcPr>
          <w:p>
            <w:pPr>
              <w:pStyle w:val="0"/>
            </w:pPr>
            <w:r>
              <w:rPr>
                <w:sz w:val="20"/>
              </w:rPr>
              <w:t xml:space="preserve">Индекс цен на топливо</w:t>
            </w:r>
          </w:p>
        </w:tc>
        <w:tc>
          <w:tcPr>
            <w:tcW w:w="990" w:type="dxa"/>
          </w:tcPr>
          <w:p>
            <w:pPr>
              <w:pStyle w:val="0"/>
              <w:jc w:val="center"/>
            </w:pPr>
            <w:r>
              <w:rPr>
                <w:sz w:val="20"/>
              </w:rPr>
              <w:t xml:space="preserve">-</w:t>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8.1</w:t>
            </w:r>
          </w:p>
        </w:tc>
        <w:tc>
          <w:tcPr>
            <w:tcW w:w="3795" w:type="dxa"/>
          </w:tcPr>
          <w:p>
            <w:pPr>
              <w:pStyle w:val="0"/>
              <w:ind w:left="283"/>
            </w:pPr>
            <w:r>
              <w:rPr>
                <w:sz w:val="20"/>
              </w:rPr>
              <w:t xml:space="preserve">вид топлива 1</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r>
        <w:tc>
          <w:tcPr>
            <w:tcW w:w="1980" w:type="dxa"/>
          </w:tcPr>
          <w:p>
            <w:pPr>
              <w:pStyle w:val="0"/>
              <w:jc w:val="center"/>
            </w:pPr>
            <w:r>
              <w:rPr>
                <w:sz w:val="20"/>
              </w:rPr>
              <w:t xml:space="preserve">8.n</w:t>
            </w:r>
          </w:p>
        </w:tc>
        <w:tc>
          <w:tcPr>
            <w:tcW w:w="3795" w:type="dxa"/>
          </w:tcPr>
          <w:p>
            <w:pPr>
              <w:pStyle w:val="0"/>
              <w:ind w:left="283"/>
            </w:pPr>
            <w:r>
              <w:rPr>
                <w:sz w:val="20"/>
              </w:rPr>
              <w:t xml:space="preserve">вид топлива n</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97"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color w:val="392c69"/>
              </w:rPr>
              <w:t xml:space="preserve"> ФСТ России от 24.11.2014 N 2054-э)</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Расчет</w:t>
      </w:r>
    </w:p>
    <w:p>
      <w:pPr>
        <w:pStyle w:val="0"/>
        <w:jc w:val="center"/>
      </w:pPr>
      <w:r>
        <w:rPr>
          <w:sz w:val="20"/>
        </w:rPr>
        <w:t xml:space="preserve">тарифа методом экономически обоснованных расходов (затрат)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458"/>
        <w:gridCol w:w="1077"/>
        <w:gridCol w:w="715"/>
        <w:gridCol w:w="710"/>
        <w:gridCol w:w="725"/>
        <w:gridCol w:w="845"/>
        <w:gridCol w:w="794"/>
        <w:gridCol w:w="794"/>
        <w:gridCol w:w="794"/>
        <w:gridCol w:w="794"/>
        <w:gridCol w:w="794"/>
      </w:tblGrid>
      <w:tr>
        <w:tc>
          <w:tcPr>
            <w:tcW w:w="907" w:type="dxa"/>
            <w:vMerge w:val="restart"/>
          </w:tcPr>
          <w:p>
            <w:pPr>
              <w:pStyle w:val="0"/>
              <w:jc w:val="center"/>
            </w:pPr>
            <w:r>
              <w:rPr>
                <w:sz w:val="20"/>
              </w:rPr>
              <w:t xml:space="preserve">N п/п</w:t>
            </w:r>
          </w:p>
        </w:tc>
        <w:tc>
          <w:tcPr>
            <w:tcW w:w="3458" w:type="dxa"/>
            <w:vMerge w:val="restart"/>
          </w:tcPr>
          <w:p>
            <w:pPr>
              <w:pStyle w:val="0"/>
              <w:jc w:val="center"/>
            </w:pPr>
            <w:r>
              <w:rPr>
                <w:sz w:val="20"/>
              </w:rPr>
              <w:t xml:space="preserve">Наименование</w:t>
            </w:r>
          </w:p>
        </w:tc>
        <w:tc>
          <w:tcPr>
            <w:tcW w:w="1077" w:type="dxa"/>
            <w:vMerge w:val="restart"/>
          </w:tcPr>
          <w:p>
            <w:pPr>
              <w:pStyle w:val="0"/>
              <w:jc w:val="center"/>
            </w:pPr>
            <w:r>
              <w:rPr>
                <w:sz w:val="20"/>
              </w:rPr>
              <w:t xml:space="preserve">Единица измерений</w:t>
            </w:r>
          </w:p>
        </w:tc>
        <w:tc>
          <w:tcPr>
            <w:gridSpan w:val="2"/>
            <w:tcW w:w="1425" w:type="dxa"/>
          </w:tcPr>
          <w:p>
            <w:pPr>
              <w:pStyle w:val="0"/>
              <w:jc w:val="center"/>
            </w:pPr>
            <w:r>
              <w:rPr>
                <w:sz w:val="20"/>
              </w:rPr>
              <w:t xml:space="preserve">Истекший год (i-2)</w:t>
            </w:r>
          </w:p>
        </w:tc>
        <w:tc>
          <w:tcPr>
            <w:gridSpan w:val="2"/>
            <w:tcW w:w="1570" w:type="dxa"/>
          </w:tcPr>
          <w:p>
            <w:pPr>
              <w:pStyle w:val="0"/>
              <w:jc w:val="center"/>
            </w:pPr>
            <w:r>
              <w:rPr>
                <w:sz w:val="20"/>
              </w:rPr>
              <w:t xml:space="preserve">Текущий год (i-1)</w:t>
            </w:r>
          </w:p>
        </w:tc>
        <w:tc>
          <w:tcPr>
            <w:tcW w:w="794" w:type="dxa"/>
            <w:vMerge w:val="restart"/>
          </w:tcPr>
          <w:p>
            <w:pPr>
              <w:pStyle w:val="0"/>
              <w:jc w:val="center"/>
            </w:pPr>
            <w:r>
              <w:rPr>
                <w:sz w:val="20"/>
              </w:rPr>
              <w:t xml:space="preserve">1-й год</w:t>
            </w:r>
          </w:p>
        </w:tc>
        <w:tc>
          <w:tcPr>
            <w:tcW w:w="794" w:type="dxa"/>
            <w:vMerge w:val="restart"/>
          </w:tcPr>
          <w:p>
            <w:pPr>
              <w:pStyle w:val="0"/>
              <w:jc w:val="center"/>
            </w:pPr>
            <w:r>
              <w:rPr>
                <w:sz w:val="20"/>
              </w:rPr>
              <w:t xml:space="preserve">2-й год</w:t>
            </w:r>
          </w:p>
        </w:tc>
        <w:tc>
          <w:tcPr>
            <w:tcW w:w="794" w:type="dxa"/>
            <w:vMerge w:val="restart"/>
          </w:tcPr>
          <w:p>
            <w:pPr>
              <w:pStyle w:val="0"/>
              <w:jc w:val="center"/>
            </w:pPr>
            <w:r>
              <w:rPr>
                <w:sz w:val="20"/>
              </w:rPr>
              <w:t xml:space="preserve">3-й год</w:t>
            </w:r>
          </w:p>
        </w:tc>
        <w:tc>
          <w:tcPr>
            <w:tcW w:w="794" w:type="dxa"/>
            <w:vMerge w:val="restart"/>
          </w:tcPr>
          <w:p>
            <w:pPr>
              <w:pStyle w:val="0"/>
              <w:jc w:val="center"/>
            </w:pPr>
            <w:r>
              <w:rPr>
                <w:sz w:val="20"/>
              </w:rPr>
              <w:t xml:space="preserve">4-й год</w:t>
            </w:r>
          </w:p>
        </w:tc>
        <w:tc>
          <w:tcPr>
            <w:tcW w:w="794" w:type="dxa"/>
            <w:vMerge w:val="restart"/>
          </w:tcPr>
          <w:p>
            <w:pPr>
              <w:pStyle w:val="0"/>
              <w:jc w:val="center"/>
            </w:pPr>
            <w:r>
              <w:rPr>
                <w:sz w:val="20"/>
              </w:rPr>
              <w:t xml:space="preserve">5-й год</w:t>
            </w:r>
          </w:p>
        </w:tc>
      </w:tr>
      <w:tr>
        <w:tc>
          <w:tcPr>
            <w:vMerge w:val="continue"/>
          </w:tcPr>
          <w:p/>
        </w:tc>
        <w:tc>
          <w:tcPr>
            <w:vMerge w:val="continue"/>
          </w:tcPr>
          <w:p/>
        </w:tc>
        <w:tc>
          <w:tcPr>
            <w:vMerge w:val="continue"/>
          </w:tcPr>
          <w:p/>
        </w:tc>
        <w:tc>
          <w:tcPr>
            <w:tcW w:w="715" w:type="dxa"/>
          </w:tcPr>
          <w:p>
            <w:pPr>
              <w:pStyle w:val="0"/>
              <w:jc w:val="center"/>
            </w:pPr>
            <w:r>
              <w:rPr>
                <w:sz w:val="20"/>
              </w:rPr>
              <w:t xml:space="preserve">план</w:t>
            </w:r>
          </w:p>
        </w:tc>
        <w:tc>
          <w:tcPr>
            <w:tcW w:w="710" w:type="dxa"/>
          </w:tcPr>
          <w:p>
            <w:pPr>
              <w:pStyle w:val="0"/>
              <w:jc w:val="center"/>
            </w:pPr>
            <w:r>
              <w:rPr>
                <w:sz w:val="20"/>
              </w:rPr>
              <w:t xml:space="preserve">факт</w:t>
            </w:r>
          </w:p>
        </w:tc>
        <w:tc>
          <w:tcPr>
            <w:tcW w:w="725" w:type="dxa"/>
          </w:tcPr>
          <w:p>
            <w:pPr>
              <w:pStyle w:val="0"/>
              <w:jc w:val="center"/>
            </w:pPr>
            <w:r>
              <w:rPr>
                <w:sz w:val="20"/>
              </w:rPr>
              <w:t xml:space="preserve">план</w:t>
            </w:r>
          </w:p>
        </w:tc>
        <w:tc>
          <w:tcPr>
            <w:tcW w:w="845" w:type="dxa"/>
          </w:tcPr>
          <w:p>
            <w:pPr>
              <w:pStyle w:val="0"/>
              <w:jc w:val="center"/>
            </w:pPr>
            <w:r>
              <w:rPr>
                <w:sz w:val="20"/>
              </w:rPr>
              <w:t xml:space="preserve">ожид</w:t>
            </w:r>
          </w:p>
        </w:tc>
        <w:tc>
          <w:tcPr>
            <w:vMerge w:val="continue"/>
          </w:tcPr>
          <w:p/>
        </w:tc>
        <w:tc>
          <w:tcPr>
            <w:vMerge w:val="continue"/>
          </w:tcPr>
          <w:p/>
        </w:tc>
        <w:tc>
          <w:tcPr>
            <w:vMerge w:val="continue"/>
          </w:tcPr>
          <w:p/>
        </w:tc>
        <w:tc>
          <w:tcPr>
            <w:vMerge w:val="continue"/>
          </w:tcPr>
          <w:p/>
        </w:tc>
        <w:tc>
          <w:tcPr>
            <w:vMerge w:val="continue"/>
          </w:tcPr>
          <w:p/>
        </w:tc>
      </w:tr>
      <w:tr>
        <w:tc>
          <w:tcPr>
            <w:tcW w:w="907" w:type="dxa"/>
          </w:tcPr>
          <w:p>
            <w:pPr>
              <w:pStyle w:val="0"/>
              <w:jc w:val="center"/>
            </w:pPr>
            <w:r>
              <w:rPr>
                <w:sz w:val="20"/>
              </w:rPr>
              <w:t xml:space="preserve">1</w:t>
            </w:r>
          </w:p>
        </w:tc>
        <w:tc>
          <w:tcPr>
            <w:tcW w:w="3458" w:type="dxa"/>
          </w:tcPr>
          <w:p>
            <w:pPr>
              <w:pStyle w:val="0"/>
              <w:jc w:val="center"/>
            </w:pPr>
            <w:r>
              <w:rPr>
                <w:sz w:val="20"/>
              </w:rPr>
              <w:t xml:space="preserve">2</w:t>
            </w:r>
          </w:p>
        </w:tc>
        <w:tc>
          <w:tcPr>
            <w:tcW w:w="1077" w:type="dxa"/>
          </w:tcPr>
          <w:p>
            <w:pPr>
              <w:pStyle w:val="0"/>
              <w:jc w:val="center"/>
            </w:pPr>
            <w:r>
              <w:rPr>
                <w:sz w:val="20"/>
              </w:rPr>
              <w:t xml:space="preserve">3</w:t>
            </w:r>
          </w:p>
        </w:tc>
        <w:tc>
          <w:tcPr>
            <w:tcW w:w="715" w:type="dxa"/>
          </w:tcPr>
          <w:p>
            <w:pPr>
              <w:pStyle w:val="0"/>
              <w:jc w:val="center"/>
            </w:pPr>
            <w:r>
              <w:rPr>
                <w:sz w:val="20"/>
              </w:rPr>
              <w:t xml:space="preserve">4</w:t>
            </w:r>
          </w:p>
        </w:tc>
        <w:tc>
          <w:tcPr>
            <w:tcW w:w="710" w:type="dxa"/>
          </w:tcPr>
          <w:p>
            <w:pPr>
              <w:pStyle w:val="0"/>
              <w:jc w:val="center"/>
            </w:pPr>
            <w:r>
              <w:rPr>
                <w:sz w:val="20"/>
              </w:rPr>
              <w:t xml:space="preserve">5</w:t>
            </w:r>
          </w:p>
        </w:tc>
        <w:tc>
          <w:tcPr>
            <w:tcW w:w="725" w:type="dxa"/>
          </w:tcPr>
          <w:p>
            <w:pPr>
              <w:pStyle w:val="0"/>
              <w:jc w:val="center"/>
            </w:pPr>
            <w:r>
              <w:rPr>
                <w:sz w:val="20"/>
              </w:rPr>
              <w:t xml:space="preserve">6</w:t>
            </w:r>
          </w:p>
        </w:tc>
        <w:tc>
          <w:tcPr>
            <w:tcW w:w="845" w:type="dxa"/>
          </w:tcPr>
          <w:p>
            <w:pPr>
              <w:pStyle w:val="0"/>
              <w:jc w:val="center"/>
            </w:pPr>
            <w:r>
              <w:rPr>
                <w:sz w:val="20"/>
              </w:rPr>
              <w:t xml:space="preserve">7</w:t>
            </w:r>
          </w:p>
        </w:tc>
        <w:tc>
          <w:tcPr>
            <w:tcW w:w="794" w:type="dxa"/>
          </w:tcPr>
          <w:p>
            <w:pPr>
              <w:pStyle w:val="0"/>
              <w:jc w:val="center"/>
            </w:pPr>
            <w:r>
              <w:rPr>
                <w:sz w:val="20"/>
              </w:rPr>
              <w:t xml:space="preserve">8</w:t>
            </w:r>
          </w:p>
        </w:tc>
        <w:tc>
          <w:tcPr>
            <w:tcW w:w="794" w:type="dxa"/>
          </w:tcPr>
          <w:p>
            <w:pPr>
              <w:pStyle w:val="0"/>
              <w:jc w:val="center"/>
            </w:pPr>
            <w:r>
              <w:rPr>
                <w:sz w:val="20"/>
              </w:rPr>
              <w:t xml:space="preserve">9</w:t>
            </w:r>
          </w:p>
        </w:tc>
        <w:tc>
          <w:tcPr>
            <w:tcW w:w="794" w:type="dxa"/>
          </w:tcPr>
          <w:p>
            <w:pPr>
              <w:pStyle w:val="0"/>
              <w:jc w:val="center"/>
            </w:pPr>
            <w:r>
              <w:rPr>
                <w:sz w:val="20"/>
              </w:rPr>
              <w:t xml:space="preserve">10</w:t>
            </w:r>
          </w:p>
        </w:tc>
        <w:tc>
          <w:tcPr>
            <w:tcW w:w="794" w:type="dxa"/>
          </w:tcPr>
          <w:p>
            <w:pPr>
              <w:pStyle w:val="0"/>
              <w:jc w:val="center"/>
            </w:pPr>
            <w:r>
              <w:rPr>
                <w:sz w:val="20"/>
              </w:rPr>
              <w:t xml:space="preserve">11</w:t>
            </w:r>
          </w:p>
        </w:tc>
        <w:tc>
          <w:tcPr>
            <w:tcW w:w="794" w:type="dxa"/>
          </w:tcPr>
          <w:p>
            <w:pPr>
              <w:pStyle w:val="0"/>
              <w:jc w:val="center"/>
            </w:pPr>
            <w:r>
              <w:rPr>
                <w:sz w:val="20"/>
              </w:rPr>
              <w:t xml:space="preserve">12</w:t>
            </w:r>
          </w:p>
        </w:tc>
      </w:tr>
      <w:tr>
        <w:tc>
          <w:tcPr>
            <w:tcW w:w="907" w:type="dxa"/>
            <w:vAlign w:val="center"/>
          </w:tcPr>
          <w:p>
            <w:pPr>
              <w:pStyle w:val="0"/>
            </w:pPr>
            <w:r>
              <w:rPr>
                <w:sz w:val="20"/>
              </w:rPr>
              <w:t xml:space="preserve">1</w:t>
            </w:r>
          </w:p>
        </w:tc>
        <w:tc>
          <w:tcPr>
            <w:tcW w:w="3458" w:type="dxa"/>
          </w:tcPr>
          <w:p>
            <w:pPr>
              <w:pStyle w:val="0"/>
              <w:jc w:val="both"/>
            </w:pPr>
            <w:r>
              <w:rPr>
                <w:sz w:val="20"/>
              </w:rPr>
              <w:t xml:space="preserve">Необходимая валовая выручка</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1.1</w:t>
            </w:r>
          </w:p>
        </w:tc>
        <w:tc>
          <w:tcPr>
            <w:tcW w:w="3458" w:type="dxa"/>
          </w:tcPr>
          <w:p>
            <w:pPr>
              <w:pStyle w:val="0"/>
              <w:ind w:firstLine="173"/>
              <w:jc w:val="both"/>
            </w:pPr>
            <w:r>
              <w:rPr>
                <w:sz w:val="20"/>
              </w:rPr>
              <w:t xml:space="preserve">Производственные расходы</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1.2</w:t>
            </w:r>
          </w:p>
        </w:tc>
        <w:tc>
          <w:tcPr>
            <w:tcW w:w="3458" w:type="dxa"/>
          </w:tcPr>
          <w:p>
            <w:pPr>
              <w:pStyle w:val="0"/>
              <w:ind w:firstLine="173"/>
              <w:jc w:val="both"/>
            </w:pPr>
            <w:r>
              <w:rPr>
                <w:sz w:val="20"/>
              </w:rPr>
              <w:t xml:space="preserve">Ремонтные расходы</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1.3</w:t>
            </w:r>
          </w:p>
        </w:tc>
        <w:tc>
          <w:tcPr>
            <w:tcW w:w="3458" w:type="dxa"/>
          </w:tcPr>
          <w:p>
            <w:pPr>
              <w:pStyle w:val="0"/>
              <w:ind w:firstLine="173"/>
              <w:jc w:val="both"/>
            </w:pPr>
            <w:r>
              <w:rPr>
                <w:sz w:val="20"/>
              </w:rPr>
              <w:t xml:space="preserve">Административные расходы</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1.4</w:t>
            </w:r>
          </w:p>
        </w:tc>
        <w:tc>
          <w:tcPr>
            <w:tcW w:w="3458" w:type="dxa"/>
          </w:tcPr>
          <w:p>
            <w:pPr>
              <w:pStyle w:val="0"/>
              <w:ind w:firstLine="173"/>
              <w:jc w:val="both"/>
            </w:pPr>
            <w:r>
              <w:rPr>
                <w:sz w:val="20"/>
              </w:rPr>
              <w:t xml:space="preserve">Сбытовые расходы</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1.5</w:t>
            </w:r>
          </w:p>
        </w:tc>
        <w:tc>
          <w:tcPr>
            <w:tcW w:w="3458" w:type="dxa"/>
          </w:tcPr>
          <w:p>
            <w:pPr>
              <w:pStyle w:val="0"/>
              <w:ind w:firstLine="173"/>
              <w:jc w:val="both"/>
            </w:pPr>
            <w:r>
              <w:rPr>
                <w:sz w:val="20"/>
              </w:rPr>
              <w:t xml:space="preserve">Амортизация</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1.6</w:t>
            </w:r>
          </w:p>
        </w:tc>
        <w:tc>
          <w:tcPr>
            <w:tcW w:w="3458" w:type="dxa"/>
          </w:tcPr>
          <w:p>
            <w:pPr>
              <w:pStyle w:val="0"/>
              <w:ind w:firstLine="173"/>
              <w:jc w:val="both"/>
            </w:pPr>
            <w:r>
              <w:rPr>
                <w:sz w:val="20"/>
              </w:rPr>
              <w:t xml:space="preserve">Арендная и концессионная плата, лизинговые платежи</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1.7</w:t>
            </w:r>
          </w:p>
        </w:tc>
        <w:tc>
          <w:tcPr>
            <w:tcW w:w="3458" w:type="dxa"/>
          </w:tcPr>
          <w:p>
            <w:pPr>
              <w:pStyle w:val="0"/>
              <w:ind w:firstLine="173"/>
              <w:jc w:val="both"/>
            </w:pPr>
            <w:r>
              <w:rPr>
                <w:sz w:val="20"/>
              </w:rPr>
              <w:t xml:space="preserve">Налоги и сборы</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1.8</w:t>
            </w:r>
          </w:p>
        </w:tc>
        <w:tc>
          <w:tcPr>
            <w:tcW w:w="3458" w:type="dxa"/>
          </w:tcPr>
          <w:p>
            <w:pPr>
              <w:pStyle w:val="0"/>
              <w:ind w:firstLine="173"/>
              <w:jc w:val="both"/>
            </w:pPr>
            <w:r>
              <w:rPr>
                <w:sz w:val="20"/>
              </w:rPr>
              <w:t xml:space="preserve">Нормативная прибыль</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1.9</w:t>
            </w:r>
          </w:p>
        </w:tc>
        <w:tc>
          <w:tcPr>
            <w:tcW w:w="3458" w:type="dxa"/>
          </w:tcPr>
          <w:p>
            <w:pPr>
              <w:pStyle w:val="0"/>
              <w:ind w:firstLine="173"/>
              <w:jc w:val="both"/>
            </w:pPr>
            <w:r>
              <w:rPr>
                <w:sz w:val="20"/>
              </w:rPr>
              <w:t xml:space="preserve">Расчетная предпринимательская прибыль гарантирующей организации</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2</w:t>
            </w:r>
          </w:p>
        </w:tc>
        <w:tc>
          <w:tcPr>
            <w:tcW w:w="3458" w:type="dxa"/>
          </w:tcPr>
          <w:p>
            <w:pPr>
              <w:pStyle w:val="0"/>
              <w:jc w:val="both"/>
            </w:pPr>
            <w:r>
              <w:rPr>
                <w:sz w:val="20"/>
              </w:rPr>
              <w:t xml:space="preserve">Недополученные доходы/расходы прошлых периодов</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2.1</w:t>
            </w:r>
          </w:p>
        </w:tc>
        <w:tc>
          <w:tcPr>
            <w:tcW w:w="3458" w:type="dxa"/>
          </w:tcPr>
          <w:p>
            <w:pPr>
              <w:pStyle w:val="0"/>
              <w:ind w:firstLine="173"/>
              <w:jc w:val="both"/>
            </w:pPr>
            <w:r>
              <w:rPr>
                <w:sz w:val="20"/>
              </w:rPr>
              <w:t xml:space="preserve">Экономически обоснованные расходы, не учтенные органом регулирования тарифов при установлении тарифов на ее товары (работы, услуги) в прошлом периоде</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2.2</w:t>
            </w:r>
          </w:p>
        </w:tc>
        <w:tc>
          <w:tcPr>
            <w:tcW w:w="3458" w:type="dxa"/>
          </w:tcPr>
          <w:p>
            <w:pPr>
              <w:pStyle w:val="0"/>
              <w:ind w:firstLine="173"/>
              <w:jc w:val="both"/>
            </w:pPr>
            <w:r>
              <w:rPr>
                <w:sz w:val="20"/>
              </w:rPr>
              <w:t xml:space="preserve">Недополученные доходы прошлых периодов регулирования</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2.3</w:t>
            </w:r>
          </w:p>
        </w:tc>
        <w:tc>
          <w:tcPr>
            <w:tcW w:w="3458" w:type="dxa"/>
          </w:tcPr>
          <w:p>
            <w:pPr>
              <w:pStyle w:val="0"/>
              <w:ind w:firstLine="173"/>
              <w:jc w:val="both"/>
            </w:pPr>
            <w:r>
              <w:rPr>
                <w:sz w:val="20"/>
              </w:rPr>
              <w:t xml:space="preserve">Расходы, связанные с обслуживанием заемных средств и собственных средств, направляемых на покрытие недостатка средств</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3</w:t>
            </w:r>
          </w:p>
        </w:tc>
        <w:tc>
          <w:tcPr>
            <w:tcW w:w="3458" w:type="dxa"/>
          </w:tcPr>
          <w:p>
            <w:pPr>
              <w:pStyle w:val="0"/>
              <w:jc w:val="both"/>
            </w:pPr>
            <w:r>
              <w:rPr>
                <w:sz w:val="20"/>
              </w:rPr>
              <w:t xml:space="preserve">Итого НВВ</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4</w:t>
            </w:r>
          </w:p>
        </w:tc>
        <w:tc>
          <w:tcPr>
            <w:tcW w:w="3458" w:type="dxa"/>
          </w:tcPr>
          <w:p>
            <w:pPr>
              <w:pStyle w:val="0"/>
              <w:jc w:val="both"/>
            </w:pPr>
            <w:r>
              <w:rPr>
                <w:sz w:val="20"/>
              </w:rPr>
              <w:t xml:space="preserve">Объем водоснабжения (водоотведения)</w:t>
            </w:r>
          </w:p>
        </w:tc>
        <w:tc>
          <w:tcPr>
            <w:tcW w:w="1077" w:type="dxa"/>
            <w:vAlign w:val="center"/>
          </w:tcPr>
          <w:p>
            <w:pPr>
              <w:pStyle w:val="0"/>
              <w:jc w:val="center"/>
            </w:pPr>
            <w:r>
              <w:rPr>
                <w:sz w:val="20"/>
              </w:rPr>
              <w:t xml:space="preserve">тыс. куб. м</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5</w:t>
            </w:r>
          </w:p>
        </w:tc>
        <w:tc>
          <w:tcPr>
            <w:tcW w:w="3458" w:type="dxa"/>
          </w:tcPr>
          <w:p>
            <w:pPr>
              <w:pStyle w:val="0"/>
              <w:jc w:val="both"/>
            </w:pPr>
            <w:r>
              <w:rPr>
                <w:sz w:val="20"/>
              </w:rPr>
              <w:t xml:space="preserve">Тариф на водоснабжение (водоотведение)</w:t>
            </w:r>
          </w:p>
        </w:tc>
        <w:tc>
          <w:tcPr>
            <w:tcW w:w="1077" w:type="dxa"/>
            <w:vAlign w:val="center"/>
          </w:tcPr>
          <w:p>
            <w:pPr>
              <w:pStyle w:val="0"/>
              <w:jc w:val="center"/>
            </w:pPr>
            <w:r>
              <w:rPr>
                <w:sz w:val="20"/>
              </w:rPr>
              <w:t xml:space="preserve">руб. куб. м</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r>
        <w:tc>
          <w:tcPr>
            <w:tcW w:w="907" w:type="dxa"/>
            <w:vAlign w:val="center"/>
          </w:tcPr>
          <w:p>
            <w:pPr>
              <w:pStyle w:val="0"/>
            </w:pPr>
            <w:r>
              <w:rPr>
                <w:sz w:val="20"/>
              </w:rPr>
              <w:t xml:space="preserve">5.1</w:t>
            </w:r>
          </w:p>
        </w:tc>
        <w:tc>
          <w:tcPr>
            <w:tcW w:w="3458" w:type="dxa"/>
          </w:tcPr>
          <w:p>
            <w:pPr>
              <w:pStyle w:val="0"/>
              <w:ind w:firstLine="173"/>
              <w:jc w:val="both"/>
            </w:pPr>
            <w:r>
              <w:rPr>
                <w:sz w:val="20"/>
              </w:rPr>
              <w:t xml:space="preserve">Темп роста тарифа</w:t>
            </w:r>
          </w:p>
        </w:tc>
        <w:tc>
          <w:tcPr>
            <w:tcW w:w="1077" w:type="dxa"/>
            <w:vAlign w:val="center"/>
          </w:tcPr>
          <w:p>
            <w:pPr>
              <w:pStyle w:val="0"/>
              <w:jc w:val="center"/>
            </w:pPr>
            <w:r>
              <w:rPr>
                <w:sz w:val="20"/>
              </w:rPr>
              <w:t xml:space="preserve">%</w:t>
            </w:r>
          </w:p>
        </w:tc>
        <w:tc>
          <w:tcPr>
            <w:tcW w:w="715" w:type="dxa"/>
            <w:vAlign w:val="center"/>
          </w:tcPr>
          <w:p>
            <w:pPr>
              <w:pStyle w:val="0"/>
            </w:pPr>
            <w:r>
              <w:rPr>
                <w:sz w:val="20"/>
              </w:rPr>
            </w:r>
          </w:p>
        </w:tc>
        <w:tc>
          <w:tcPr>
            <w:tcW w:w="710" w:type="dxa"/>
            <w:vAlign w:val="center"/>
          </w:tcPr>
          <w:p>
            <w:pPr>
              <w:pStyle w:val="0"/>
            </w:pPr>
            <w:r>
              <w:rPr>
                <w:sz w:val="20"/>
              </w:rPr>
            </w:r>
          </w:p>
        </w:tc>
        <w:tc>
          <w:tcPr>
            <w:tcW w:w="725" w:type="dxa"/>
            <w:vAlign w:val="center"/>
          </w:tcPr>
          <w:p>
            <w:pPr>
              <w:pStyle w:val="0"/>
            </w:pPr>
            <w:r>
              <w:rPr>
                <w:sz w:val="20"/>
              </w:rPr>
            </w:r>
          </w:p>
        </w:tc>
        <w:tc>
          <w:tcPr>
            <w:tcW w:w="845"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98"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Приказа</w:t>
              </w:r>
            </w:hyperlink>
            <w:r>
              <w:rPr>
                <w:sz w:val="20"/>
                <w:color w:val="392c69"/>
              </w:rPr>
              <w:t xml:space="preserve"> ФАС России от 08.10.2020 N 976/20)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Расчет тарифа методом сравнения аналогов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948"/>
        <w:gridCol w:w="1426"/>
        <w:gridCol w:w="790"/>
        <w:gridCol w:w="790"/>
        <w:gridCol w:w="790"/>
        <w:gridCol w:w="792"/>
        <w:gridCol w:w="794"/>
      </w:tblGrid>
      <w:tr>
        <w:tc>
          <w:tcPr>
            <w:tcW w:w="737" w:type="dxa"/>
            <w:vMerge w:val="restart"/>
          </w:tcPr>
          <w:p>
            <w:pPr>
              <w:pStyle w:val="0"/>
              <w:jc w:val="center"/>
            </w:pPr>
            <w:r>
              <w:rPr>
                <w:sz w:val="20"/>
              </w:rPr>
              <w:t xml:space="preserve">N п/п</w:t>
            </w:r>
          </w:p>
        </w:tc>
        <w:tc>
          <w:tcPr>
            <w:tcW w:w="2948" w:type="dxa"/>
            <w:vMerge w:val="restart"/>
          </w:tcPr>
          <w:p>
            <w:pPr>
              <w:pStyle w:val="0"/>
              <w:jc w:val="center"/>
            </w:pPr>
            <w:r>
              <w:rPr>
                <w:sz w:val="20"/>
              </w:rPr>
              <w:t xml:space="preserve">Наименование</w:t>
            </w:r>
          </w:p>
        </w:tc>
        <w:tc>
          <w:tcPr>
            <w:tcW w:w="1426" w:type="dxa"/>
            <w:vMerge w:val="restart"/>
          </w:tcPr>
          <w:p>
            <w:pPr>
              <w:pStyle w:val="0"/>
              <w:jc w:val="center"/>
            </w:pPr>
            <w:r>
              <w:rPr>
                <w:sz w:val="20"/>
              </w:rPr>
              <w:t xml:space="preserve">Единица измерений</w:t>
            </w:r>
          </w:p>
        </w:tc>
        <w:tc>
          <w:tcPr>
            <w:gridSpan w:val="2"/>
            <w:tcW w:w="1580" w:type="dxa"/>
          </w:tcPr>
          <w:p>
            <w:pPr>
              <w:pStyle w:val="0"/>
              <w:jc w:val="center"/>
            </w:pPr>
            <w:r>
              <w:rPr>
                <w:sz w:val="20"/>
              </w:rPr>
              <w:t xml:space="preserve">Истекший год (i-2)</w:t>
            </w:r>
          </w:p>
        </w:tc>
        <w:tc>
          <w:tcPr>
            <w:gridSpan w:val="2"/>
            <w:tcW w:w="1582" w:type="dxa"/>
          </w:tcPr>
          <w:p>
            <w:pPr>
              <w:pStyle w:val="0"/>
              <w:jc w:val="center"/>
            </w:pPr>
            <w:r>
              <w:rPr>
                <w:sz w:val="20"/>
              </w:rPr>
              <w:t xml:space="preserve">Текущий год (i-1)</w:t>
            </w:r>
          </w:p>
        </w:tc>
        <w:tc>
          <w:tcPr>
            <w:tcW w:w="794"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790" w:type="dxa"/>
          </w:tcPr>
          <w:p>
            <w:pPr>
              <w:pStyle w:val="0"/>
              <w:jc w:val="center"/>
            </w:pPr>
            <w:r>
              <w:rPr>
                <w:sz w:val="20"/>
              </w:rPr>
              <w:t xml:space="preserve">план</w:t>
            </w:r>
          </w:p>
        </w:tc>
        <w:tc>
          <w:tcPr>
            <w:tcW w:w="790" w:type="dxa"/>
          </w:tcPr>
          <w:p>
            <w:pPr>
              <w:pStyle w:val="0"/>
              <w:jc w:val="center"/>
            </w:pPr>
            <w:r>
              <w:rPr>
                <w:sz w:val="20"/>
              </w:rPr>
              <w:t xml:space="preserve">Факт</w:t>
            </w:r>
          </w:p>
        </w:tc>
        <w:tc>
          <w:tcPr>
            <w:tcW w:w="790" w:type="dxa"/>
          </w:tcPr>
          <w:p>
            <w:pPr>
              <w:pStyle w:val="0"/>
              <w:jc w:val="center"/>
            </w:pPr>
            <w:r>
              <w:rPr>
                <w:sz w:val="20"/>
              </w:rPr>
              <w:t xml:space="preserve">план</w:t>
            </w:r>
          </w:p>
        </w:tc>
        <w:tc>
          <w:tcPr>
            <w:tcW w:w="792" w:type="dxa"/>
          </w:tcPr>
          <w:p>
            <w:pPr>
              <w:pStyle w:val="0"/>
              <w:jc w:val="center"/>
            </w:pPr>
            <w:r>
              <w:rPr>
                <w:sz w:val="20"/>
              </w:rPr>
              <w:t xml:space="preserve">ожид</w:t>
            </w:r>
          </w:p>
        </w:tc>
        <w:tc>
          <w:tcPr>
            <w:vMerge w:val="continue"/>
          </w:tcPr>
          <w:p/>
        </w:tc>
      </w:tr>
      <w:tr>
        <w:tc>
          <w:tcPr>
            <w:tcW w:w="737" w:type="dxa"/>
          </w:tcPr>
          <w:p>
            <w:pPr>
              <w:pStyle w:val="0"/>
              <w:jc w:val="center"/>
            </w:pPr>
            <w:r>
              <w:rPr>
                <w:sz w:val="20"/>
              </w:rPr>
              <w:t xml:space="preserve">1</w:t>
            </w:r>
          </w:p>
        </w:tc>
        <w:tc>
          <w:tcPr>
            <w:tcW w:w="2948" w:type="dxa"/>
          </w:tcPr>
          <w:p>
            <w:pPr>
              <w:pStyle w:val="0"/>
              <w:jc w:val="center"/>
            </w:pPr>
            <w:r>
              <w:rPr>
                <w:sz w:val="20"/>
              </w:rPr>
              <w:t xml:space="preserve">2</w:t>
            </w:r>
          </w:p>
        </w:tc>
        <w:tc>
          <w:tcPr>
            <w:tcW w:w="1426" w:type="dxa"/>
          </w:tcPr>
          <w:p>
            <w:pPr>
              <w:pStyle w:val="0"/>
              <w:jc w:val="center"/>
            </w:pPr>
            <w:r>
              <w:rPr>
                <w:sz w:val="20"/>
              </w:rPr>
              <w:t xml:space="preserve">3</w:t>
            </w:r>
          </w:p>
        </w:tc>
        <w:tc>
          <w:tcPr>
            <w:tcW w:w="790" w:type="dxa"/>
          </w:tcPr>
          <w:p>
            <w:pPr>
              <w:pStyle w:val="0"/>
              <w:jc w:val="center"/>
            </w:pPr>
            <w:r>
              <w:rPr>
                <w:sz w:val="20"/>
              </w:rPr>
              <w:t xml:space="preserve">4</w:t>
            </w:r>
          </w:p>
        </w:tc>
        <w:tc>
          <w:tcPr>
            <w:tcW w:w="790" w:type="dxa"/>
          </w:tcPr>
          <w:p>
            <w:pPr>
              <w:pStyle w:val="0"/>
              <w:jc w:val="center"/>
            </w:pPr>
            <w:r>
              <w:rPr>
                <w:sz w:val="20"/>
              </w:rPr>
              <w:t xml:space="preserve">5</w:t>
            </w:r>
          </w:p>
        </w:tc>
        <w:tc>
          <w:tcPr>
            <w:tcW w:w="790" w:type="dxa"/>
          </w:tcPr>
          <w:p>
            <w:pPr>
              <w:pStyle w:val="0"/>
              <w:jc w:val="center"/>
            </w:pPr>
            <w:r>
              <w:rPr>
                <w:sz w:val="20"/>
              </w:rPr>
              <w:t xml:space="preserve">6</w:t>
            </w:r>
          </w:p>
        </w:tc>
        <w:tc>
          <w:tcPr>
            <w:tcW w:w="792" w:type="dxa"/>
          </w:tcPr>
          <w:p>
            <w:pPr>
              <w:pStyle w:val="0"/>
              <w:jc w:val="center"/>
            </w:pPr>
            <w:r>
              <w:rPr>
                <w:sz w:val="20"/>
              </w:rPr>
              <w:t xml:space="preserve">7</w:t>
            </w:r>
          </w:p>
        </w:tc>
        <w:tc>
          <w:tcPr>
            <w:tcW w:w="794" w:type="dxa"/>
          </w:tcPr>
          <w:p>
            <w:pPr>
              <w:pStyle w:val="0"/>
              <w:jc w:val="center"/>
            </w:pPr>
            <w:r>
              <w:rPr>
                <w:sz w:val="20"/>
              </w:rPr>
              <w:t xml:space="preserve">8</w:t>
            </w:r>
          </w:p>
        </w:tc>
      </w:tr>
      <w:tr>
        <w:tc>
          <w:tcPr>
            <w:tcW w:w="737" w:type="dxa"/>
          </w:tcPr>
          <w:p>
            <w:pPr>
              <w:pStyle w:val="0"/>
              <w:jc w:val="center"/>
            </w:pPr>
            <w:r>
              <w:rPr>
                <w:sz w:val="20"/>
              </w:rPr>
              <w:t xml:space="preserve">1</w:t>
            </w:r>
          </w:p>
        </w:tc>
        <w:tc>
          <w:tcPr>
            <w:tcW w:w="2948" w:type="dxa"/>
          </w:tcPr>
          <w:p>
            <w:pPr>
              <w:pStyle w:val="0"/>
            </w:pPr>
            <w:r>
              <w:rPr>
                <w:sz w:val="20"/>
              </w:rPr>
              <w:t xml:space="preserve">Протяженность сети регулируемой организации, определенная в сопоставимых величинах</w:t>
            </w:r>
          </w:p>
        </w:tc>
        <w:tc>
          <w:tcPr>
            <w:tcW w:w="1426" w:type="dxa"/>
          </w:tcPr>
          <w:p>
            <w:pPr>
              <w:pStyle w:val="0"/>
              <w:jc w:val="center"/>
            </w:pPr>
            <w:r>
              <w:rPr>
                <w:sz w:val="20"/>
              </w:rPr>
              <w:t xml:space="preserve">усл. км</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1.1</w:t>
            </w:r>
          </w:p>
        </w:tc>
        <w:tc>
          <w:tcPr>
            <w:tcW w:w="2948" w:type="dxa"/>
          </w:tcPr>
          <w:p>
            <w:pPr>
              <w:pStyle w:val="0"/>
            </w:pPr>
            <w:r>
              <w:rPr>
                <w:sz w:val="20"/>
              </w:rPr>
              <w:t xml:space="preserve">протяженность сети регулируемой организации</w:t>
            </w:r>
          </w:p>
        </w:tc>
        <w:tc>
          <w:tcPr>
            <w:tcW w:w="1426" w:type="dxa"/>
          </w:tcPr>
          <w:p>
            <w:pPr>
              <w:pStyle w:val="0"/>
              <w:jc w:val="center"/>
            </w:pPr>
            <w:r>
              <w:rPr>
                <w:sz w:val="20"/>
              </w:rPr>
              <w:t xml:space="preserve">км</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2</w:t>
            </w:r>
          </w:p>
        </w:tc>
        <w:tc>
          <w:tcPr>
            <w:tcW w:w="2948" w:type="dxa"/>
          </w:tcPr>
          <w:p>
            <w:pPr>
              <w:pStyle w:val="0"/>
            </w:pPr>
            <w:r>
              <w:rPr>
                <w:sz w:val="20"/>
              </w:rPr>
              <w:t xml:space="preserve">Удельные текущие расходы</w:t>
            </w:r>
          </w:p>
        </w:tc>
        <w:tc>
          <w:tcPr>
            <w:tcW w:w="1426" w:type="dxa"/>
          </w:tcPr>
          <w:p>
            <w:pPr>
              <w:pStyle w:val="0"/>
              <w:jc w:val="center"/>
            </w:pPr>
            <w:r>
              <w:rPr>
                <w:sz w:val="20"/>
              </w:rPr>
              <w:t xml:space="preserve">тыс. руб./усл. км</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2.1</w:t>
            </w:r>
          </w:p>
        </w:tc>
        <w:tc>
          <w:tcPr>
            <w:tcW w:w="2948" w:type="dxa"/>
          </w:tcPr>
          <w:p>
            <w:pPr>
              <w:pStyle w:val="0"/>
            </w:pPr>
            <w:r>
              <w:rPr>
                <w:sz w:val="20"/>
              </w:rPr>
              <w:t xml:space="preserve">Текущие расходы гарантирующей организации, включая</w:t>
            </w:r>
          </w:p>
        </w:tc>
        <w:tc>
          <w:tcPr>
            <w:tcW w:w="1426" w:type="dxa"/>
          </w:tcPr>
          <w:p>
            <w:pPr>
              <w:pStyle w:val="0"/>
              <w:jc w:val="center"/>
            </w:pPr>
            <w:r>
              <w:rPr>
                <w:sz w:val="20"/>
              </w:rPr>
              <w:t xml:space="preserve">тыс. руб.</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2.1.1</w:t>
            </w:r>
          </w:p>
        </w:tc>
        <w:tc>
          <w:tcPr>
            <w:tcW w:w="2948" w:type="dxa"/>
          </w:tcPr>
          <w:p>
            <w:pPr>
              <w:pStyle w:val="0"/>
            </w:pPr>
            <w:r>
              <w:rPr>
                <w:sz w:val="20"/>
              </w:rPr>
              <w:t xml:space="preserve">расходы на электрическую энергию</w:t>
            </w:r>
          </w:p>
        </w:tc>
        <w:tc>
          <w:tcPr>
            <w:tcW w:w="1426" w:type="dxa"/>
          </w:tcPr>
          <w:p>
            <w:pPr>
              <w:pStyle w:val="0"/>
              <w:jc w:val="center"/>
            </w:pPr>
            <w:r>
              <w:rPr>
                <w:sz w:val="20"/>
              </w:rPr>
              <w:t xml:space="preserve">тыс. руб.</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2.2</w:t>
            </w:r>
          </w:p>
        </w:tc>
        <w:tc>
          <w:tcPr>
            <w:tcW w:w="2948" w:type="dxa"/>
          </w:tcPr>
          <w:p>
            <w:pPr>
              <w:pStyle w:val="0"/>
            </w:pPr>
            <w:r>
              <w:rPr>
                <w:sz w:val="20"/>
              </w:rPr>
              <w:t xml:space="preserve">Индекс потребительских цен</w:t>
            </w:r>
          </w:p>
        </w:tc>
        <w:tc>
          <w:tcPr>
            <w:tcW w:w="1426" w:type="dxa"/>
          </w:tcPr>
          <w:p>
            <w:pPr>
              <w:pStyle w:val="0"/>
              <w:jc w:val="center"/>
            </w:pPr>
            <w:r>
              <w:rPr>
                <w:sz w:val="20"/>
              </w:rPr>
              <w:t xml:space="preserve">%</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2.3</w:t>
            </w:r>
          </w:p>
        </w:tc>
        <w:tc>
          <w:tcPr>
            <w:tcW w:w="2948" w:type="dxa"/>
          </w:tcPr>
          <w:p>
            <w:pPr>
              <w:pStyle w:val="0"/>
            </w:pPr>
            <w:r>
              <w:rPr>
                <w:sz w:val="20"/>
              </w:rPr>
              <w:t xml:space="preserve">Протяженность сети гарантирующей организации, определенная в сопоставимых величинах</w:t>
            </w:r>
          </w:p>
        </w:tc>
        <w:tc>
          <w:tcPr>
            <w:tcW w:w="1426" w:type="dxa"/>
          </w:tcPr>
          <w:p>
            <w:pPr>
              <w:pStyle w:val="0"/>
              <w:jc w:val="center"/>
            </w:pPr>
            <w:r>
              <w:rPr>
                <w:sz w:val="20"/>
              </w:rPr>
              <w:t xml:space="preserve">усл. км</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3</w:t>
            </w:r>
          </w:p>
        </w:tc>
        <w:tc>
          <w:tcPr>
            <w:tcW w:w="2948" w:type="dxa"/>
          </w:tcPr>
          <w:p>
            <w:pPr>
              <w:pStyle w:val="0"/>
            </w:pPr>
            <w:r>
              <w:rPr>
                <w:sz w:val="20"/>
              </w:rPr>
              <w:t xml:space="preserve">Нормативный уровень расходов на амортизацию основных средств и нематериальных активов, относимых к объектам централизованной системы водоснабжения и (или) водоотведения</w:t>
            </w:r>
          </w:p>
        </w:tc>
        <w:tc>
          <w:tcPr>
            <w:tcW w:w="1426" w:type="dxa"/>
          </w:tcPr>
          <w:p>
            <w:pPr>
              <w:pStyle w:val="0"/>
              <w:jc w:val="center"/>
            </w:pPr>
            <w:r>
              <w:rPr>
                <w:sz w:val="20"/>
              </w:rPr>
              <w:t xml:space="preserve">тыс. руб./усл. км</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3.1</w:t>
            </w:r>
          </w:p>
        </w:tc>
        <w:tc>
          <w:tcPr>
            <w:tcW w:w="2948" w:type="dxa"/>
          </w:tcPr>
          <w:p>
            <w:pPr>
              <w:pStyle w:val="0"/>
            </w:pPr>
            <w:r>
              <w:rPr>
                <w:sz w:val="20"/>
              </w:rPr>
              <w:t xml:space="preserve">Норматив амортизации</w:t>
            </w:r>
          </w:p>
        </w:tc>
        <w:tc>
          <w:tcPr>
            <w:tcW w:w="1426" w:type="dxa"/>
          </w:tcPr>
          <w:p>
            <w:pPr>
              <w:pStyle w:val="0"/>
              <w:jc w:val="center"/>
            </w:pPr>
            <w:r>
              <w:rPr>
                <w:sz w:val="20"/>
              </w:rPr>
              <w:t xml:space="preserve">%</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4</w:t>
            </w:r>
          </w:p>
        </w:tc>
        <w:tc>
          <w:tcPr>
            <w:tcW w:w="2948" w:type="dxa"/>
          </w:tcPr>
          <w:p>
            <w:pPr>
              <w:pStyle w:val="0"/>
            </w:pPr>
            <w:r>
              <w:rPr>
                <w:sz w:val="20"/>
              </w:rPr>
              <w:t xml:space="preserve">Необходимая валовая выручка</w:t>
            </w:r>
          </w:p>
        </w:tc>
        <w:tc>
          <w:tcPr>
            <w:tcW w:w="1426" w:type="dxa"/>
          </w:tcPr>
          <w:p>
            <w:pPr>
              <w:pStyle w:val="0"/>
              <w:jc w:val="center"/>
            </w:pPr>
            <w:r>
              <w:rPr>
                <w:sz w:val="20"/>
              </w:rPr>
              <w:t xml:space="preserve">тыс. руб.</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5</w:t>
            </w:r>
          </w:p>
        </w:tc>
        <w:tc>
          <w:tcPr>
            <w:tcW w:w="2948" w:type="dxa"/>
          </w:tcPr>
          <w:p>
            <w:pPr>
              <w:pStyle w:val="0"/>
            </w:pPr>
            <w:r>
              <w:rPr>
                <w:sz w:val="20"/>
              </w:rPr>
              <w:t xml:space="preserve">Объем транспортируемой холодной воды (сточных вод)</w:t>
            </w:r>
          </w:p>
        </w:tc>
        <w:tc>
          <w:tcPr>
            <w:tcW w:w="1426" w:type="dxa"/>
          </w:tcPr>
          <w:p>
            <w:pPr>
              <w:pStyle w:val="0"/>
              <w:jc w:val="center"/>
            </w:pPr>
            <w:r>
              <w:rPr>
                <w:sz w:val="20"/>
              </w:rPr>
              <w:t xml:space="preserve">тыс. куб. м</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6</w:t>
            </w:r>
          </w:p>
        </w:tc>
        <w:tc>
          <w:tcPr>
            <w:tcW w:w="2948" w:type="dxa"/>
          </w:tcPr>
          <w:p>
            <w:pPr>
              <w:pStyle w:val="0"/>
            </w:pPr>
            <w:r>
              <w:rPr>
                <w:sz w:val="20"/>
              </w:rPr>
              <w:t xml:space="preserve">Тариф на транспортировку холодной воды (сточных вод)</w:t>
            </w:r>
          </w:p>
        </w:tc>
        <w:tc>
          <w:tcPr>
            <w:tcW w:w="1426" w:type="dxa"/>
          </w:tcPr>
          <w:p>
            <w:pPr>
              <w:pStyle w:val="0"/>
              <w:jc w:val="center"/>
            </w:pPr>
            <w:r>
              <w:rPr>
                <w:sz w:val="20"/>
              </w:rPr>
              <w:t xml:space="preserve">руб./куб. м</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r>
        <w:tc>
          <w:tcPr>
            <w:tcW w:w="737" w:type="dxa"/>
          </w:tcPr>
          <w:p>
            <w:pPr>
              <w:pStyle w:val="0"/>
              <w:jc w:val="center"/>
            </w:pPr>
            <w:r>
              <w:rPr>
                <w:sz w:val="20"/>
              </w:rPr>
              <w:t xml:space="preserve">6.1</w:t>
            </w:r>
          </w:p>
        </w:tc>
        <w:tc>
          <w:tcPr>
            <w:tcW w:w="2948" w:type="dxa"/>
          </w:tcPr>
          <w:p>
            <w:pPr>
              <w:pStyle w:val="0"/>
            </w:pPr>
            <w:r>
              <w:rPr>
                <w:sz w:val="20"/>
              </w:rPr>
              <w:t xml:space="preserve">Темп роста тарифа</w:t>
            </w:r>
          </w:p>
        </w:tc>
        <w:tc>
          <w:tcPr>
            <w:tcW w:w="1426" w:type="dxa"/>
          </w:tcPr>
          <w:p>
            <w:pPr>
              <w:pStyle w:val="0"/>
              <w:jc w:val="center"/>
            </w:pPr>
            <w:r>
              <w:rPr>
                <w:sz w:val="20"/>
              </w:rPr>
              <w:t xml:space="preserve">%</w:t>
            </w:r>
          </w:p>
        </w:tc>
        <w:tc>
          <w:tcPr>
            <w:tcW w:w="790" w:type="dxa"/>
          </w:tcPr>
          <w:p>
            <w:pPr>
              <w:pStyle w:val="0"/>
            </w:pPr>
            <w:r>
              <w:rPr>
                <w:sz w:val="20"/>
              </w:rPr>
            </w:r>
          </w:p>
        </w:tc>
        <w:tc>
          <w:tcPr>
            <w:tcW w:w="790" w:type="dxa"/>
          </w:tcPr>
          <w:p>
            <w:pPr>
              <w:pStyle w:val="0"/>
            </w:pPr>
            <w:r>
              <w:rPr>
                <w:sz w:val="20"/>
              </w:rPr>
            </w:r>
          </w:p>
        </w:tc>
        <w:tc>
          <w:tcPr>
            <w:tcW w:w="790" w:type="dxa"/>
          </w:tcPr>
          <w:p>
            <w:pPr>
              <w:pStyle w:val="0"/>
            </w:pPr>
            <w:r>
              <w:rPr>
                <w:sz w:val="20"/>
              </w:rPr>
            </w:r>
          </w:p>
        </w:tc>
        <w:tc>
          <w:tcPr>
            <w:tcW w:w="792" w:type="dxa"/>
          </w:tcPr>
          <w:p>
            <w:pPr>
              <w:pStyle w:val="0"/>
            </w:pPr>
            <w:r>
              <w:rPr>
                <w:sz w:val="20"/>
              </w:rPr>
            </w:r>
          </w:p>
        </w:tc>
        <w:tc>
          <w:tcPr>
            <w:tcW w:w="79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99"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Приказом</w:t>
              </w:r>
            </w:hyperlink>
            <w:r>
              <w:rPr>
                <w:sz w:val="20"/>
                <w:color w:val="392c69"/>
              </w:rPr>
              <w:t xml:space="preserve"> ФАС России от 08.10.2020 N 976/20)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486" w:name="P6486"/>
    <w:bookmarkEnd w:id="6486"/>
    <w:p>
      <w:pPr>
        <w:pStyle w:val="0"/>
        <w:jc w:val="center"/>
      </w:pPr>
      <w:r>
        <w:rPr>
          <w:sz w:val="20"/>
        </w:rPr>
        <w:t xml:space="preserve">Протяженность водопроводной (канализационной) сети,</w:t>
      </w:r>
    </w:p>
    <w:p>
      <w:pPr>
        <w:pStyle w:val="0"/>
        <w:jc w:val="center"/>
      </w:pPr>
      <w:r>
        <w:rPr>
          <w:sz w:val="20"/>
        </w:rPr>
        <w:t xml:space="preserve">определенная в сопоставимых величинах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1077"/>
        <w:gridCol w:w="1814"/>
        <w:gridCol w:w="1421"/>
        <w:gridCol w:w="1587"/>
        <w:gridCol w:w="2414"/>
      </w:tblGrid>
      <w:tr>
        <w:tc>
          <w:tcPr>
            <w:tcW w:w="737" w:type="dxa"/>
          </w:tcPr>
          <w:p>
            <w:pPr>
              <w:pStyle w:val="0"/>
              <w:jc w:val="center"/>
            </w:pPr>
            <w:r>
              <w:rPr>
                <w:sz w:val="20"/>
              </w:rPr>
              <w:t xml:space="preserve">N п/п</w:t>
            </w:r>
          </w:p>
        </w:tc>
        <w:tc>
          <w:tcPr>
            <w:tcW w:w="1077" w:type="dxa"/>
          </w:tcPr>
          <w:p>
            <w:pPr>
              <w:pStyle w:val="0"/>
              <w:jc w:val="center"/>
            </w:pPr>
            <w:r>
              <w:rPr>
                <w:sz w:val="20"/>
              </w:rPr>
              <w:t xml:space="preserve">Диаметр трубы, мм</w:t>
            </w:r>
          </w:p>
        </w:tc>
        <w:tc>
          <w:tcPr>
            <w:tcW w:w="1814" w:type="dxa"/>
          </w:tcPr>
          <w:p>
            <w:pPr>
              <w:pStyle w:val="0"/>
              <w:jc w:val="center"/>
            </w:pPr>
            <w:r>
              <w:rPr>
                <w:sz w:val="20"/>
              </w:rPr>
              <w:t xml:space="preserve">Протяженность водопроводной (канализационной) сети, км</w:t>
            </w:r>
          </w:p>
        </w:tc>
        <w:tc>
          <w:tcPr>
            <w:tcW w:w="1421" w:type="dxa"/>
          </w:tcPr>
          <w:p>
            <w:pPr>
              <w:pStyle w:val="0"/>
              <w:jc w:val="center"/>
            </w:pPr>
            <w:r>
              <w:rPr>
                <w:sz w:val="20"/>
              </w:rPr>
              <w:t xml:space="preserve">Средняя стоимость строительства 1 км трубопровода, тыс. руб.</w:t>
            </w:r>
          </w:p>
        </w:tc>
        <w:tc>
          <w:tcPr>
            <w:tcW w:w="1587" w:type="dxa"/>
          </w:tcPr>
          <w:p>
            <w:pPr>
              <w:pStyle w:val="0"/>
              <w:jc w:val="center"/>
            </w:pPr>
            <w:r>
              <w:rPr>
                <w:sz w:val="20"/>
              </w:rPr>
              <w:t xml:space="preserve">Коэффициент дифференциации стоимости строительства сетей</w:t>
            </w:r>
          </w:p>
        </w:tc>
        <w:tc>
          <w:tcPr>
            <w:tcW w:w="2414" w:type="dxa"/>
          </w:tcPr>
          <w:p>
            <w:pPr>
              <w:pStyle w:val="0"/>
              <w:jc w:val="center"/>
            </w:pPr>
            <w:r>
              <w:rPr>
                <w:sz w:val="20"/>
              </w:rPr>
              <w:t xml:space="preserve">Протяженность водопроводной (канализационной) сети, определенная в сопоставимых величинах, усл. км</w:t>
            </w:r>
          </w:p>
        </w:tc>
      </w:tr>
      <w:tr>
        <w:tc>
          <w:tcPr>
            <w:tcW w:w="737" w:type="dxa"/>
          </w:tcPr>
          <w:p>
            <w:pPr>
              <w:pStyle w:val="0"/>
              <w:jc w:val="center"/>
            </w:pPr>
            <w:r>
              <w:rPr>
                <w:sz w:val="20"/>
              </w:rPr>
              <w:t xml:space="preserve">1</w:t>
            </w:r>
          </w:p>
        </w:tc>
        <w:tc>
          <w:tcPr>
            <w:tcW w:w="1077" w:type="dxa"/>
          </w:tcPr>
          <w:p>
            <w:pPr>
              <w:pStyle w:val="0"/>
              <w:jc w:val="center"/>
            </w:pPr>
            <w:r>
              <w:rPr>
                <w:sz w:val="20"/>
              </w:rPr>
              <w:t xml:space="preserve">2</w:t>
            </w:r>
          </w:p>
        </w:tc>
        <w:tc>
          <w:tcPr>
            <w:tcW w:w="1814" w:type="dxa"/>
          </w:tcPr>
          <w:p>
            <w:pPr>
              <w:pStyle w:val="0"/>
              <w:jc w:val="center"/>
            </w:pPr>
            <w:r>
              <w:rPr>
                <w:sz w:val="20"/>
              </w:rPr>
              <w:t xml:space="preserve">3</w:t>
            </w:r>
          </w:p>
        </w:tc>
        <w:tc>
          <w:tcPr>
            <w:tcW w:w="1421" w:type="dxa"/>
          </w:tcPr>
          <w:p>
            <w:pPr>
              <w:pStyle w:val="0"/>
              <w:jc w:val="center"/>
            </w:pPr>
            <w:r>
              <w:rPr>
                <w:sz w:val="20"/>
              </w:rPr>
              <w:t xml:space="preserve">4</w:t>
            </w:r>
          </w:p>
        </w:tc>
        <w:tc>
          <w:tcPr>
            <w:tcW w:w="1587" w:type="dxa"/>
          </w:tcPr>
          <w:p>
            <w:pPr>
              <w:pStyle w:val="0"/>
              <w:jc w:val="center"/>
            </w:pPr>
            <w:r>
              <w:rPr>
                <w:sz w:val="20"/>
              </w:rPr>
              <w:t xml:space="preserve">5</w:t>
            </w:r>
          </w:p>
        </w:tc>
        <w:tc>
          <w:tcPr>
            <w:tcW w:w="2414" w:type="dxa"/>
          </w:tcPr>
          <w:p>
            <w:pPr>
              <w:pStyle w:val="0"/>
              <w:jc w:val="center"/>
            </w:pPr>
            <w:r>
              <w:rPr>
                <w:sz w:val="20"/>
              </w:rPr>
              <w:t xml:space="preserve">6</w:t>
            </w:r>
          </w:p>
        </w:tc>
      </w:tr>
      <w:tr>
        <w:tc>
          <w:tcPr>
            <w:tcW w:w="737" w:type="dxa"/>
          </w:tcPr>
          <w:p>
            <w:pPr>
              <w:pStyle w:val="0"/>
              <w:jc w:val="center"/>
            </w:pPr>
            <w:r>
              <w:rPr>
                <w:sz w:val="20"/>
              </w:rPr>
              <w:t xml:space="preserve">1</w:t>
            </w:r>
          </w:p>
        </w:tc>
        <w:tc>
          <w:tcPr>
            <w:tcW w:w="1077" w:type="dxa"/>
          </w:tcPr>
          <w:p>
            <w:pPr>
              <w:pStyle w:val="0"/>
              <w:jc w:val="center"/>
            </w:pPr>
            <w:r>
              <w:rPr>
                <w:sz w:val="20"/>
              </w:rPr>
              <w:t xml:space="preserve">Всего</w:t>
            </w:r>
          </w:p>
        </w:tc>
        <w:tc>
          <w:tcPr>
            <w:tcW w:w="1814" w:type="dxa"/>
          </w:tcPr>
          <w:p>
            <w:pPr>
              <w:pStyle w:val="0"/>
            </w:pPr>
            <w:r>
              <w:rPr>
                <w:sz w:val="20"/>
              </w:rPr>
            </w:r>
          </w:p>
        </w:tc>
        <w:tc>
          <w:tcPr>
            <w:tcW w:w="1421" w:type="dxa"/>
          </w:tcPr>
          <w:p>
            <w:pPr>
              <w:pStyle w:val="0"/>
              <w:jc w:val="center"/>
            </w:pPr>
            <w:r>
              <w:rPr>
                <w:sz w:val="20"/>
              </w:rPr>
              <w:t xml:space="preserve">X</w:t>
            </w:r>
          </w:p>
        </w:tc>
        <w:tc>
          <w:tcPr>
            <w:tcW w:w="1587" w:type="dxa"/>
          </w:tcPr>
          <w:p>
            <w:pPr>
              <w:pStyle w:val="0"/>
              <w:jc w:val="center"/>
            </w:pPr>
            <w:r>
              <w:rPr>
                <w:sz w:val="20"/>
              </w:rPr>
              <w:t xml:space="preserve">X</w:t>
            </w:r>
          </w:p>
        </w:tc>
        <w:tc>
          <w:tcPr>
            <w:tcW w:w="2414" w:type="dxa"/>
          </w:tcPr>
          <w:p>
            <w:pPr>
              <w:pStyle w:val="0"/>
            </w:pPr>
            <w:r>
              <w:rPr>
                <w:sz w:val="20"/>
              </w:rPr>
            </w:r>
          </w:p>
        </w:tc>
      </w:tr>
      <w:tr>
        <w:tc>
          <w:tcPr>
            <w:tcW w:w="737" w:type="dxa"/>
          </w:tcPr>
          <w:p>
            <w:pPr>
              <w:pStyle w:val="0"/>
              <w:jc w:val="center"/>
            </w:pPr>
            <w:r>
              <w:rPr>
                <w:sz w:val="20"/>
              </w:rPr>
              <w:t xml:space="preserve">2</w:t>
            </w:r>
          </w:p>
        </w:tc>
        <w:tc>
          <w:tcPr>
            <w:tcW w:w="1077" w:type="dxa"/>
          </w:tcPr>
          <w:p>
            <w:pPr>
              <w:pStyle w:val="0"/>
            </w:pPr>
            <w:r>
              <w:rPr>
                <w:sz w:val="20"/>
              </w:rPr>
            </w:r>
          </w:p>
        </w:tc>
        <w:tc>
          <w:tcPr>
            <w:tcW w:w="1814" w:type="dxa"/>
          </w:tcPr>
          <w:p>
            <w:pPr>
              <w:pStyle w:val="0"/>
            </w:pPr>
            <w:r>
              <w:rPr>
                <w:sz w:val="20"/>
              </w:rPr>
            </w:r>
          </w:p>
        </w:tc>
        <w:tc>
          <w:tcPr>
            <w:tcW w:w="1421" w:type="dxa"/>
          </w:tcPr>
          <w:p>
            <w:pPr>
              <w:pStyle w:val="0"/>
            </w:pPr>
            <w:r>
              <w:rPr>
                <w:sz w:val="20"/>
              </w:rPr>
            </w:r>
          </w:p>
        </w:tc>
        <w:tc>
          <w:tcPr>
            <w:tcW w:w="1587" w:type="dxa"/>
          </w:tcPr>
          <w:p>
            <w:pPr>
              <w:pStyle w:val="0"/>
            </w:pPr>
            <w:r>
              <w:rPr>
                <w:sz w:val="20"/>
              </w:rPr>
            </w:r>
          </w:p>
        </w:tc>
        <w:tc>
          <w:tcPr>
            <w:tcW w:w="2414" w:type="dxa"/>
          </w:tcPr>
          <w:p>
            <w:pPr>
              <w:pStyle w:val="0"/>
            </w:pPr>
            <w:r>
              <w:rPr>
                <w:sz w:val="20"/>
              </w:rPr>
            </w:r>
          </w:p>
        </w:tc>
      </w:tr>
      <w:tr>
        <w:tc>
          <w:tcPr>
            <w:tcW w:w="737" w:type="dxa"/>
          </w:tcPr>
          <w:p>
            <w:pPr>
              <w:pStyle w:val="0"/>
            </w:pPr>
            <w:r>
              <w:rPr>
                <w:sz w:val="20"/>
              </w:rPr>
            </w:r>
          </w:p>
        </w:tc>
        <w:tc>
          <w:tcPr>
            <w:tcW w:w="1077" w:type="dxa"/>
          </w:tcPr>
          <w:p>
            <w:pPr>
              <w:pStyle w:val="0"/>
            </w:pPr>
            <w:r>
              <w:rPr>
                <w:sz w:val="20"/>
              </w:rPr>
            </w:r>
          </w:p>
        </w:tc>
        <w:tc>
          <w:tcPr>
            <w:tcW w:w="1814" w:type="dxa"/>
          </w:tcPr>
          <w:p>
            <w:pPr>
              <w:pStyle w:val="0"/>
            </w:pPr>
            <w:r>
              <w:rPr>
                <w:sz w:val="20"/>
              </w:rPr>
            </w:r>
          </w:p>
        </w:tc>
        <w:tc>
          <w:tcPr>
            <w:tcW w:w="1421" w:type="dxa"/>
          </w:tcPr>
          <w:p>
            <w:pPr>
              <w:pStyle w:val="0"/>
            </w:pPr>
            <w:r>
              <w:rPr>
                <w:sz w:val="20"/>
              </w:rPr>
            </w:r>
          </w:p>
        </w:tc>
        <w:tc>
          <w:tcPr>
            <w:tcW w:w="1587" w:type="dxa"/>
          </w:tcPr>
          <w:p>
            <w:pPr>
              <w:pStyle w:val="0"/>
            </w:pPr>
            <w:r>
              <w:rPr>
                <w:sz w:val="20"/>
              </w:rPr>
            </w:r>
          </w:p>
        </w:tc>
        <w:tc>
          <w:tcPr>
            <w:tcW w:w="2414" w:type="dxa"/>
          </w:tcPr>
          <w:p>
            <w:pPr>
              <w:pStyle w:val="0"/>
            </w:pPr>
            <w:r>
              <w:rPr>
                <w:sz w:val="20"/>
              </w:rPr>
            </w:r>
          </w:p>
        </w:tc>
      </w:tr>
      <w:tr>
        <w:tc>
          <w:tcPr>
            <w:tcW w:w="737" w:type="dxa"/>
          </w:tcPr>
          <w:p>
            <w:pPr>
              <w:pStyle w:val="0"/>
            </w:pPr>
            <w:r>
              <w:rPr>
                <w:sz w:val="20"/>
              </w:rPr>
            </w:r>
          </w:p>
        </w:tc>
        <w:tc>
          <w:tcPr>
            <w:tcW w:w="1077" w:type="dxa"/>
          </w:tcPr>
          <w:p>
            <w:pPr>
              <w:pStyle w:val="0"/>
            </w:pPr>
            <w:r>
              <w:rPr>
                <w:sz w:val="20"/>
              </w:rPr>
            </w:r>
          </w:p>
        </w:tc>
        <w:tc>
          <w:tcPr>
            <w:tcW w:w="1814" w:type="dxa"/>
          </w:tcPr>
          <w:p>
            <w:pPr>
              <w:pStyle w:val="0"/>
            </w:pPr>
            <w:r>
              <w:rPr>
                <w:sz w:val="20"/>
              </w:rPr>
            </w:r>
          </w:p>
        </w:tc>
        <w:tc>
          <w:tcPr>
            <w:tcW w:w="1421" w:type="dxa"/>
          </w:tcPr>
          <w:p>
            <w:pPr>
              <w:pStyle w:val="0"/>
            </w:pPr>
            <w:r>
              <w:rPr>
                <w:sz w:val="20"/>
              </w:rPr>
            </w:r>
          </w:p>
        </w:tc>
        <w:tc>
          <w:tcPr>
            <w:tcW w:w="1587" w:type="dxa"/>
          </w:tcPr>
          <w:p>
            <w:pPr>
              <w:pStyle w:val="0"/>
            </w:pPr>
            <w:r>
              <w:rPr>
                <w:sz w:val="20"/>
              </w:rPr>
            </w:r>
          </w:p>
        </w:tc>
        <w:tc>
          <w:tcPr>
            <w:tcW w:w="2414" w:type="dxa"/>
          </w:tcPr>
          <w:p>
            <w:pPr>
              <w:pStyle w:val="0"/>
            </w:pPr>
            <w:r>
              <w:rPr>
                <w:sz w:val="20"/>
              </w:rPr>
            </w:r>
          </w:p>
        </w:tc>
      </w:tr>
      <w:tr>
        <w:tc>
          <w:tcPr>
            <w:tcW w:w="737" w:type="dxa"/>
          </w:tcPr>
          <w:p>
            <w:pPr>
              <w:pStyle w:val="0"/>
            </w:pPr>
            <w:r>
              <w:rPr>
                <w:sz w:val="20"/>
              </w:rPr>
            </w:r>
          </w:p>
        </w:tc>
        <w:tc>
          <w:tcPr>
            <w:tcW w:w="1077" w:type="dxa"/>
          </w:tcPr>
          <w:p>
            <w:pPr>
              <w:pStyle w:val="0"/>
              <w:jc w:val="center"/>
            </w:pPr>
            <w:r>
              <w:rPr>
                <w:sz w:val="20"/>
              </w:rPr>
              <w:t xml:space="preserve">500</w:t>
            </w:r>
          </w:p>
        </w:tc>
        <w:tc>
          <w:tcPr>
            <w:tcW w:w="1814" w:type="dxa"/>
          </w:tcPr>
          <w:p>
            <w:pPr>
              <w:pStyle w:val="0"/>
            </w:pPr>
            <w:r>
              <w:rPr>
                <w:sz w:val="20"/>
              </w:rPr>
            </w:r>
          </w:p>
        </w:tc>
        <w:tc>
          <w:tcPr>
            <w:tcW w:w="1421" w:type="dxa"/>
          </w:tcPr>
          <w:p>
            <w:pPr>
              <w:pStyle w:val="0"/>
            </w:pPr>
            <w:r>
              <w:rPr>
                <w:sz w:val="20"/>
              </w:rPr>
            </w:r>
          </w:p>
        </w:tc>
        <w:tc>
          <w:tcPr>
            <w:tcW w:w="1587" w:type="dxa"/>
          </w:tcPr>
          <w:p>
            <w:pPr>
              <w:pStyle w:val="0"/>
              <w:jc w:val="center"/>
            </w:pPr>
            <w:r>
              <w:rPr>
                <w:sz w:val="20"/>
              </w:rPr>
              <w:t xml:space="preserve">1,0000</w:t>
            </w:r>
          </w:p>
        </w:tc>
        <w:tc>
          <w:tcPr>
            <w:tcW w:w="2414" w:type="dxa"/>
          </w:tcPr>
          <w:p>
            <w:pPr>
              <w:pStyle w:val="0"/>
            </w:pPr>
            <w:r>
              <w:rPr>
                <w:sz w:val="20"/>
              </w:rPr>
            </w:r>
          </w:p>
        </w:tc>
      </w:tr>
      <w:tr>
        <w:tc>
          <w:tcPr>
            <w:tcW w:w="737" w:type="dxa"/>
          </w:tcPr>
          <w:p>
            <w:pPr>
              <w:pStyle w:val="0"/>
            </w:pPr>
            <w:r>
              <w:rPr>
                <w:sz w:val="20"/>
              </w:rPr>
            </w:r>
          </w:p>
        </w:tc>
        <w:tc>
          <w:tcPr>
            <w:tcW w:w="1077" w:type="dxa"/>
          </w:tcPr>
          <w:p>
            <w:pPr>
              <w:pStyle w:val="0"/>
            </w:pPr>
            <w:r>
              <w:rPr>
                <w:sz w:val="20"/>
              </w:rPr>
            </w:r>
          </w:p>
        </w:tc>
        <w:tc>
          <w:tcPr>
            <w:tcW w:w="1814" w:type="dxa"/>
          </w:tcPr>
          <w:p>
            <w:pPr>
              <w:pStyle w:val="0"/>
            </w:pPr>
            <w:r>
              <w:rPr>
                <w:sz w:val="20"/>
              </w:rPr>
            </w:r>
          </w:p>
        </w:tc>
        <w:tc>
          <w:tcPr>
            <w:tcW w:w="1421" w:type="dxa"/>
          </w:tcPr>
          <w:p>
            <w:pPr>
              <w:pStyle w:val="0"/>
            </w:pPr>
            <w:r>
              <w:rPr>
                <w:sz w:val="20"/>
              </w:rPr>
            </w:r>
          </w:p>
        </w:tc>
        <w:tc>
          <w:tcPr>
            <w:tcW w:w="1587" w:type="dxa"/>
          </w:tcPr>
          <w:p>
            <w:pPr>
              <w:pStyle w:val="0"/>
            </w:pPr>
            <w:r>
              <w:rPr>
                <w:sz w:val="20"/>
              </w:rPr>
            </w:r>
          </w:p>
        </w:tc>
        <w:tc>
          <w:tcPr>
            <w:tcW w:w="2414" w:type="dxa"/>
          </w:tcPr>
          <w:p>
            <w:pPr>
              <w:pStyle w:val="0"/>
            </w:pPr>
            <w:r>
              <w:rPr>
                <w:sz w:val="20"/>
              </w:rPr>
            </w:r>
          </w:p>
        </w:tc>
      </w:tr>
      <w:tr>
        <w:tc>
          <w:tcPr>
            <w:tcW w:w="737" w:type="dxa"/>
          </w:tcPr>
          <w:p>
            <w:pPr>
              <w:pStyle w:val="0"/>
              <w:jc w:val="center"/>
            </w:pPr>
            <w:r>
              <w:rPr>
                <w:sz w:val="20"/>
              </w:rPr>
              <w:t xml:space="preserve">n</w:t>
            </w:r>
          </w:p>
        </w:tc>
        <w:tc>
          <w:tcPr>
            <w:tcW w:w="1077" w:type="dxa"/>
          </w:tcPr>
          <w:p>
            <w:pPr>
              <w:pStyle w:val="0"/>
            </w:pPr>
            <w:r>
              <w:rPr>
                <w:sz w:val="20"/>
              </w:rPr>
            </w:r>
          </w:p>
        </w:tc>
        <w:tc>
          <w:tcPr>
            <w:tcW w:w="1814" w:type="dxa"/>
          </w:tcPr>
          <w:p>
            <w:pPr>
              <w:pStyle w:val="0"/>
            </w:pPr>
            <w:r>
              <w:rPr>
                <w:sz w:val="20"/>
              </w:rPr>
            </w:r>
          </w:p>
        </w:tc>
        <w:tc>
          <w:tcPr>
            <w:tcW w:w="1421" w:type="dxa"/>
          </w:tcPr>
          <w:p>
            <w:pPr>
              <w:pStyle w:val="0"/>
            </w:pPr>
            <w:r>
              <w:rPr>
                <w:sz w:val="20"/>
              </w:rPr>
            </w:r>
          </w:p>
        </w:tc>
        <w:tc>
          <w:tcPr>
            <w:tcW w:w="1587" w:type="dxa"/>
          </w:tcPr>
          <w:p>
            <w:pPr>
              <w:pStyle w:val="0"/>
            </w:pPr>
            <w:r>
              <w:rPr>
                <w:sz w:val="20"/>
              </w:rPr>
            </w:r>
          </w:p>
        </w:tc>
        <w:tc>
          <w:tcPr>
            <w:tcW w:w="2414" w:type="dxa"/>
          </w:tcPr>
          <w:p>
            <w:pPr>
              <w:pStyle w:val="0"/>
            </w:pPr>
            <w:r>
              <w:rPr>
                <w:sz w:val="20"/>
              </w:rPr>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Приложение заполняется гарантирующей организацией за истекший год (i-2) для каждой централизованной системы водоснабжения и (или) водоотведения, в которой имеются сети организаций, осуществляющих транспортировку холодной воды, сточных вод абонентов гарантирующей организации.</w:t>
      </w:r>
    </w:p>
    <w:p>
      <w:pPr>
        <w:pStyle w:val="0"/>
        <w:spacing w:before="200" w:lineRule="auto"/>
        <w:ind w:firstLine="540"/>
        <w:jc w:val="both"/>
      </w:pPr>
      <w:r>
        <w:rPr>
          <w:sz w:val="20"/>
        </w:rPr>
        <w:t xml:space="preserve">2. Приложение заполняется органом регулирования тарифов за истекший год (i-2), текущий год (i-1), очередной год i по каждой регулируемой организации, установление тарифов для которых осуществляется с применением метода сравнения аналогов.</w:t>
      </w:r>
    </w:p>
    <w:p>
      <w:pPr>
        <w:pStyle w:val="0"/>
        <w:spacing w:before="200" w:lineRule="auto"/>
        <w:ind w:firstLine="540"/>
        <w:jc w:val="both"/>
      </w:pPr>
      <w:r>
        <w:rPr>
          <w:sz w:val="20"/>
        </w:rPr>
        <w:t xml:space="preserve">3. Данные о протяженности заполняются в километрах с точностью три знака после запятой.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00"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Приказом</w:t>
              </w:r>
            </w:hyperlink>
            <w:r>
              <w:rPr>
                <w:sz w:val="20"/>
                <w:color w:val="392c69"/>
              </w:rPr>
              <w:t xml:space="preserve"> ФАС России от 08.10.2020 N 976/20)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557" w:name="P6557"/>
    <w:bookmarkEnd w:id="6557"/>
    <w:p>
      <w:pPr>
        <w:pStyle w:val="0"/>
        <w:jc w:val="center"/>
      </w:pPr>
      <w:r>
        <w:rPr>
          <w:sz w:val="20"/>
        </w:rPr>
        <w:t xml:space="preserve">Протяженность водопроводной (канализационной) сети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9"/>
        <w:gridCol w:w="3031"/>
        <w:gridCol w:w="1714"/>
        <w:gridCol w:w="1714"/>
        <w:gridCol w:w="1716"/>
      </w:tblGrid>
      <w:tr>
        <w:tc>
          <w:tcPr>
            <w:tcW w:w="869" w:type="dxa"/>
            <w:vMerge w:val="restart"/>
          </w:tcPr>
          <w:p>
            <w:pPr>
              <w:pStyle w:val="0"/>
              <w:jc w:val="center"/>
            </w:pPr>
            <w:r>
              <w:rPr>
                <w:sz w:val="20"/>
              </w:rPr>
              <w:t xml:space="preserve">N п/п</w:t>
            </w:r>
          </w:p>
        </w:tc>
        <w:tc>
          <w:tcPr>
            <w:tcW w:w="3031" w:type="dxa"/>
            <w:vMerge w:val="restart"/>
          </w:tcPr>
          <w:p>
            <w:pPr>
              <w:pStyle w:val="0"/>
              <w:jc w:val="center"/>
            </w:pPr>
            <w:r>
              <w:rPr>
                <w:sz w:val="20"/>
              </w:rPr>
              <w:t xml:space="preserve">Диаметр трубы, мм</w:t>
            </w:r>
          </w:p>
        </w:tc>
        <w:tc>
          <w:tcPr>
            <w:gridSpan w:val="3"/>
            <w:tcW w:w="5144" w:type="dxa"/>
          </w:tcPr>
          <w:p>
            <w:pPr>
              <w:pStyle w:val="0"/>
              <w:jc w:val="center"/>
            </w:pPr>
            <w:r>
              <w:rPr>
                <w:sz w:val="20"/>
              </w:rPr>
              <w:t xml:space="preserve">Протяженность водопроводной (канализационной) сети, км</w:t>
            </w:r>
          </w:p>
        </w:tc>
      </w:tr>
      <w:tr>
        <w:tc>
          <w:tcPr>
            <w:vMerge w:val="continue"/>
          </w:tcPr>
          <w:p/>
        </w:tc>
        <w:tc>
          <w:tcPr>
            <w:vMerge w:val="continue"/>
          </w:tcPr>
          <w:p/>
        </w:tc>
        <w:tc>
          <w:tcPr>
            <w:tcW w:w="1714" w:type="dxa"/>
          </w:tcPr>
          <w:p>
            <w:pPr>
              <w:pStyle w:val="0"/>
              <w:jc w:val="center"/>
            </w:pPr>
            <w:r>
              <w:rPr>
                <w:sz w:val="20"/>
              </w:rPr>
              <w:t xml:space="preserve">Истекший год (i-2)</w:t>
            </w:r>
          </w:p>
        </w:tc>
        <w:tc>
          <w:tcPr>
            <w:tcW w:w="1714" w:type="dxa"/>
          </w:tcPr>
          <w:p>
            <w:pPr>
              <w:pStyle w:val="0"/>
              <w:jc w:val="center"/>
            </w:pPr>
            <w:r>
              <w:rPr>
                <w:sz w:val="20"/>
              </w:rPr>
              <w:t xml:space="preserve">Текущий год (i-1)</w:t>
            </w:r>
          </w:p>
        </w:tc>
        <w:tc>
          <w:tcPr>
            <w:tcW w:w="1716" w:type="dxa"/>
          </w:tcPr>
          <w:p>
            <w:pPr>
              <w:pStyle w:val="0"/>
              <w:jc w:val="center"/>
            </w:pPr>
            <w:r>
              <w:rPr>
                <w:sz w:val="20"/>
              </w:rPr>
              <w:t xml:space="preserve">Очередной год (i)</w:t>
            </w:r>
          </w:p>
        </w:tc>
      </w:tr>
      <w:tr>
        <w:tc>
          <w:tcPr>
            <w:tcW w:w="869" w:type="dxa"/>
          </w:tcPr>
          <w:p>
            <w:pPr>
              <w:pStyle w:val="0"/>
              <w:jc w:val="center"/>
            </w:pPr>
            <w:r>
              <w:rPr>
                <w:sz w:val="20"/>
              </w:rPr>
              <w:t xml:space="preserve">1</w:t>
            </w:r>
          </w:p>
        </w:tc>
        <w:tc>
          <w:tcPr>
            <w:tcW w:w="3031" w:type="dxa"/>
          </w:tcPr>
          <w:p>
            <w:pPr>
              <w:pStyle w:val="0"/>
              <w:jc w:val="center"/>
            </w:pPr>
            <w:r>
              <w:rPr>
                <w:sz w:val="20"/>
              </w:rPr>
              <w:t xml:space="preserve">2</w:t>
            </w:r>
          </w:p>
        </w:tc>
        <w:tc>
          <w:tcPr>
            <w:tcW w:w="1714" w:type="dxa"/>
          </w:tcPr>
          <w:p>
            <w:pPr>
              <w:pStyle w:val="0"/>
              <w:jc w:val="center"/>
            </w:pPr>
            <w:r>
              <w:rPr>
                <w:sz w:val="20"/>
              </w:rPr>
              <w:t xml:space="preserve">3</w:t>
            </w:r>
          </w:p>
        </w:tc>
        <w:tc>
          <w:tcPr>
            <w:tcW w:w="1714" w:type="dxa"/>
          </w:tcPr>
          <w:p>
            <w:pPr>
              <w:pStyle w:val="0"/>
              <w:jc w:val="center"/>
            </w:pPr>
            <w:r>
              <w:rPr>
                <w:sz w:val="20"/>
              </w:rPr>
              <w:t xml:space="preserve">4</w:t>
            </w:r>
          </w:p>
        </w:tc>
        <w:tc>
          <w:tcPr>
            <w:tcW w:w="1716" w:type="dxa"/>
          </w:tcPr>
          <w:p>
            <w:pPr>
              <w:pStyle w:val="0"/>
              <w:jc w:val="center"/>
            </w:pPr>
            <w:r>
              <w:rPr>
                <w:sz w:val="20"/>
              </w:rPr>
              <w:t xml:space="preserve">5</w:t>
            </w:r>
          </w:p>
        </w:tc>
      </w:tr>
      <w:tr>
        <w:tc>
          <w:tcPr>
            <w:tcW w:w="869" w:type="dxa"/>
          </w:tcPr>
          <w:p>
            <w:pPr>
              <w:pStyle w:val="0"/>
              <w:jc w:val="center"/>
            </w:pPr>
            <w:r>
              <w:rPr>
                <w:sz w:val="20"/>
              </w:rPr>
              <w:t xml:space="preserve">1</w:t>
            </w:r>
          </w:p>
        </w:tc>
        <w:tc>
          <w:tcPr>
            <w:tcW w:w="3031" w:type="dxa"/>
          </w:tcPr>
          <w:p>
            <w:pPr>
              <w:pStyle w:val="0"/>
              <w:jc w:val="center"/>
            </w:pPr>
            <w:r>
              <w:rPr>
                <w:sz w:val="20"/>
              </w:rPr>
              <w:t xml:space="preserve">Всего</w:t>
            </w:r>
          </w:p>
        </w:tc>
        <w:tc>
          <w:tcPr>
            <w:tcW w:w="1714" w:type="dxa"/>
          </w:tcPr>
          <w:p>
            <w:pPr>
              <w:pStyle w:val="0"/>
            </w:pPr>
            <w:r>
              <w:rPr>
                <w:sz w:val="20"/>
              </w:rPr>
            </w:r>
          </w:p>
        </w:tc>
        <w:tc>
          <w:tcPr>
            <w:tcW w:w="1714" w:type="dxa"/>
          </w:tcPr>
          <w:p>
            <w:pPr>
              <w:pStyle w:val="0"/>
            </w:pPr>
            <w:r>
              <w:rPr>
                <w:sz w:val="20"/>
              </w:rPr>
            </w:r>
          </w:p>
        </w:tc>
        <w:tc>
          <w:tcPr>
            <w:tcW w:w="1716" w:type="dxa"/>
          </w:tcPr>
          <w:p>
            <w:pPr>
              <w:pStyle w:val="0"/>
            </w:pPr>
            <w:r>
              <w:rPr>
                <w:sz w:val="20"/>
              </w:rPr>
            </w:r>
          </w:p>
        </w:tc>
      </w:tr>
      <w:tr>
        <w:tc>
          <w:tcPr>
            <w:tcW w:w="869" w:type="dxa"/>
          </w:tcPr>
          <w:p>
            <w:pPr>
              <w:pStyle w:val="0"/>
              <w:jc w:val="center"/>
            </w:pPr>
            <w:r>
              <w:rPr>
                <w:sz w:val="20"/>
              </w:rPr>
              <w:t xml:space="preserve">2</w:t>
            </w:r>
          </w:p>
        </w:tc>
        <w:tc>
          <w:tcPr>
            <w:tcW w:w="3031" w:type="dxa"/>
          </w:tcPr>
          <w:p>
            <w:pPr>
              <w:pStyle w:val="0"/>
            </w:pPr>
            <w:r>
              <w:rPr>
                <w:sz w:val="20"/>
              </w:rPr>
            </w:r>
          </w:p>
        </w:tc>
        <w:tc>
          <w:tcPr>
            <w:tcW w:w="1714" w:type="dxa"/>
          </w:tcPr>
          <w:p>
            <w:pPr>
              <w:pStyle w:val="0"/>
            </w:pPr>
            <w:r>
              <w:rPr>
                <w:sz w:val="20"/>
              </w:rPr>
            </w:r>
          </w:p>
        </w:tc>
        <w:tc>
          <w:tcPr>
            <w:tcW w:w="1714" w:type="dxa"/>
          </w:tcPr>
          <w:p>
            <w:pPr>
              <w:pStyle w:val="0"/>
            </w:pPr>
            <w:r>
              <w:rPr>
                <w:sz w:val="20"/>
              </w:rPr>
            </w:r>
          </w:p>
        </w:tc>
        <w:tc>
          <w:tcPr>
            <w:tcW w:w="1716" w:type="dxa"/>
          </w:tcPr>
          <w:p>
            <w:pPr>
              <w:pStyle w:val="0"/>
            </w:pPr>
            <w:r>
              <w:rPr>
                <w:sz w:val="20"/>
              </w:rPr>
            </w:r>
          </w:p>
        </w:tc>
      </w:tr>
      <w:tr>
        <w:tc>
          <w:tcPr>
            <w:tcW w:w="869" w:type="dxa"/>
          </w:tcPr>
          <w:p>
            <w:pPr>
              <w:pStyle w:val="0"/>
            </w:pPr>
            <w:r>
              <w:rPr>
                <w:sz w:val="20"/>
              </w:rPr>
            </w:r>
          </w:p>
        </w:tc>
        <w:tc>
          <w:tcPr>
            <w:tcW w:w="3031" w:type="dxa"/>
          </w:tcPr>
          <w:p>
            <w:pPr>
              <w:pStyle w:val="0"/>
            </w:pPr>
            <w:r>
              <w:rPr>
                <w:sz w:val="20"/>
              </w:rPr>
            </w:r>
          </w:p>
        </w:tc>
        <w:tc>
          <w:tcPr>
            <w:tcW w:w="1714" w:type="dxa"/>
          </w:tcPr>
          <w:p>
            <w:pPr>
              <w:pStyle w:val="0"/>
            </w:pPr>
            <w:r>
              <w:rPr>
                <w:sz w:val="20"/>
              </w:rPr>
            </w:r>
          </w:p>
        </w:tc>
        <w:tc>
          <w:tcPr>
            <w:tcW w:w="1714" w:type="dxa"/>
          </w:tcPr>
          <w:p>
            <w:pPr>
              <w:pStyle w:val="0"/>
            </w:pPr>
            <w:r>
              <w:rPr>
                <w:sz w:val="20"/>
              </w:rPr>
            </w:r>
          </w:p>
        </w:tc>
        <w:tc>
          <w:tcPr>
            <w:tcW w:w="1716" w:type="dxa"/>
          </w:tcPr>
          <w:p>
            <w:pPr>
              <w:pStyle w:val="0"/>
            </w:pPr>
            <w:r>
              <w:rPr>
                <w:sz w:val="20"/>
              </w:rPr>
            </w:r>
          </w:p>
        </w:tc>
      </w:tr>
      <w:tr>
        <w:tc>
          <w:tcPr>
            <w:tcW w:w="869" w:type="dxa"/>
          </w:tcPr>
          <w:p>
            <w:pPr>
              <w:pStyle w:val="0"/>
            </w:pPr>
            <w:r>
              <w:rPr>
                <w:sz w:val="20"/>
              </w:rPr>
            </w:r>
          </w:p>
        </w:tc>
        <w:tc>
          <w:tcPr>
            <w:tcW w:w="3031" w:type="dxa"/>
          </w:tcPr>
          <w:p>
            <w:pPr>
              <w:pStyle w:val="0"/>
            </w:pPr>
            <w:r>
              <w:rPr>
                <w:sz w:val="20"/>
              </w:rPr>
            </w:r>
          </w:p>
        </w:tc>
        <w:tc>
          <w:tcPr>
            <w:tcW w:w="1714" w:type="dxa"/>
          </w:tcPr>
          <w:p>
            <w:pPr>
              <w:pStyle w:val="0"/>
            </w:pPr>
            <w:r>
              <w:rPr>
                <w:sz w:val="20"/>
              </w:rPr>
            </w:r>
          </w:p>
        </w:tc>
        <w:tc>
          <w:tcPr>
            <w:tcW w:w="1714" w:type="dxa"/>
          </w:tcPr>
          <w:p>
            <w:pPr>
              <w:pStyle w:val="0"/>
            </w:pPr>
            <w:r>
              <w:rPr>
                <w:sz w:val="20"/>
              </w:rPr>
            </w:r>
          </w:p>
        </w:tc>
        <w:tc>
          <w:tcPr>
            <w:tcW w:w="1716" w:type="dxa"/>
          </w:tcPr>
          <w:p>
            <w:pPr>
              <w:pStyle w:val="0"/>
            </w:pPr>
            <w:r>
              <w:rPr>
                <w:sz w:val="20"/>
              </w:rPr>
            </w:r>
          </w:p>
        </w:tc>
      </w:tr>
      <w:tr>
        <w:tc>
          <w:tcPr>
            <w:tcW w:w="869" w:type="dxa"/>
          </w:tcPr>
          <w:p>
            <w:pPr>
              <w:pStyle w:val="0"/>
            </w:pPr>
            <w:r>
              <w:rPr>
                <w:sz w:val="20"/>
              </w:rPr>
            </w:r>
          </w:p>
        </w:tc>
        <w:tc>
          <w:tcPr>
            <w:tcW w:w="3031" w:type="dxa"/>
          </w:tcPr>
          <w:p>
            <w:pPr>
              <w:pStyle w:val="0"/>
            </w:pPr>
            <w:r>
              <w:rPr>
                <w:sz w:val="20"/>
              </w:rPr>
            </w:r>
          </w:p>
        </w:tc>
        <w:tc>
          <w:tcPr>
            <w:tcW w:w="1714" w:type="dxa"/>
          </w:tcPr>
          <w:p>
            <w:pPr>
              <w:pStyle w:val="0"/>
            </w:pPr>
            <w:r>
              <w:rPr>
                <w:sz w:val="20"/>
              </w:rPr>
            </w:r>
          </w:p>
        </w:tc>
        <w:tc>
          <w:tcPr>
            <w:tcW w:w="1714" w:type="dxa"/>
          </w:tcPr>
          <w:p>
            <w:pPr>
              <w:pStyle w:val="0"/>
            </w:pPr>
            <w:r>
              <w:rPr>
                <w:sz w:val="20"/>
              </w:rPr>
            </w:r>
          </w:p>
        </w:tc>
        <w:tc>
          <w:tcPr>
            <w:tcW w:w="1716" w:type="dxa"/>
          </w:tcPr>
          <w:p>
            <w:pPr>
              <w:pStyle w:val="0"/>
            </w:pPr>
            <w:r>
              <w:rPr>
                <w:sz w:val="20"/>
              </w:rPr>
            </w:r>
          </w:p>
        </w:tc>
      </w:tr>
      <w:tr>
        <w:tc>
          <w:tcPr>
            <w:tcW w:w="869" w:type="dxa"/>
          </w:tcPr>
          <w:p>
            <w:pPr>
              <w:pStyle w:val="0"/>
            </w:pPr>
            <w:r>
              <w:rPr>
                <w:sz w:val="20"/>
              </w:rPr>
            </w:r>
          </w:p>
        </w:tc>
        <w:tc>
          <w:tcPr>
            <w:tcW w:w="3031" w:type="dxa"/>
          </w:tcPr>
          <w:p>
            <w:pPr>
              <w:pStyle w:val="0"/>
            </w:pPr>
            <w:r>
              <w:rPr>
                <w:sz w:val="20"/>
              </w:rPr>
            </w:r>
          </w:p>
        </w:tc>
        <w:tc>
          <w:tcPr>
            <w:tcW w:w="1714" w:type="dxa"/>
          </w:tcPr>
          <w:p>
            <w:pPr>
              <w:pStyle w:val="0"/>
            </w:pPr>
            <w:r>
              <w:rPr>
                <w:sz w:val="20"/>
              </w:rPr>
            </w:r>
          </w:p>
        </w:tc>
        <w:tc>
          <w:tcPr>
            <w:tcW w:w="1714" w:type="dxa"/>
          </w:tcPr>
          <w:p>
            <w:pPr>
              <w:pStyle w:val="0"/>
            </w:pPr>
            <w:r>
              <w:rPr>
                <w:sz w:val="20"/>
              </w:rPr>
            </w:r>
          </w:p>
        </w:tc>
        <w:tc>
          <w:tcPr>
            <w:tcW w:w="1716" w:type="dxa"/>
          </w:tcPr>
          <w:p>
            <w:pPr>
              <w:pStyle w:val="0"/>
            </w:pPr>
            <w:r>
              <w:rPr>
                <w:sz w:val="20"/>
              </w:rPr>
            </w:r>
          </w:p>
        </w:tc>
      </w:tr>
      <w:tr>
        <w:tc>
          <w:tcPr>
            <w:tcW w:w="869" w:type="dxa"/>
          </w:tcPr>
          <w:p>
            <w:pPr>
              <w:pStyle w:val="0"/>
              <w:jc w:val="center"/>
            </w:pPr>
            <w:r>
              <w:rPr>
                <w:sz w:val="20"/>
              </w:rPr>
              <w:t xml:space="preserve">n</w:t>
            </w:r>
          </w:p>
        </w:tc>
        <w:tc>
          <w:tcPr>
            <w:tcW w:w="3031" w:type="dxa"/>
          </w:tcPr>
          <w:p>
            <w:pPr>
              <w:pStyle w:val="0"/>
            </w:pPr>
            <w:r>
              <w:rPr>
                <w:sz w:val="20"/>
              </w:rPr>
            </w:r>
          </w:p>
        </w:tc>
        <w:tc>
          <w:tcPr>
            <w:tcW w:w="1714" w:type="dxa"/>
          </w:tcPr>
          <w:p>
            <w:pPr>
              <w:pStyle w:val="0"/>
            </w:pPr>
            <w:r>
              <w:rPr>
                <w:sz w:val="20"/>
              </w:rPr>
            </w:r>
          </w:p>
        </w:tc>
        <w:tc>
          <w:tcPr>
            <w:tcW w:w="1714" w:type="dxa"/>
          </w:tcPr>
          <w:p>
            <w:pPr>
              <w:pStyle w:val="0"/>
            </w:pPr>
            <w:r>
              <w:rPr>
                <w:sz w:val="20"/>
              </w:rPr>
            </w:r>
          </w:p>
        </w:tc>
        <w:tc>
          <w:tcPr>
            <w:tcW w:w="1716" w:type="dxa"/>
          </w:tcPr>
          <w:p>
            <w:pPr>
              <w:pStyle w:val="0"/>
            </w:pPr>
            <w:r>
              <w:rPr>
                <w:sz w:val="20"/>
              </w:rPr>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Приложение заполняется регулируемой организацией, осуществляющей транспортировку холодной воды и (или) транспортировку сточных вод, по каждой централизованной системе холодного водоснабжения и (или) водоотведения.</w:t>
      </w:r>
    </w:p>
    <w:p>
      <w:pPr>
        <w:pStyle w:val="0"/>
        <w:spacing w:before="200" w:lineRule="auto"/>
        <w:ind w:firstLine="540"/>
        <w:jc w:val="both"/>
      </w:pPr>
      <w:r>
        <w:rPr>
          <w:sz w:val="20"/>
        </w:rPr>
        <w:t xml:space="preserve">2. Данные о протяженности заполняются в километрах с точностью три знака после запятой.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01"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color w:val="392c69"/>
              </w:rPr>
              <w:t xml:space="preserve"> ФСТ России от 24.11.2014 N 2054-э)</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Расчет</w:t>
      </w:r>
    </w:p>
    <w:p>
      <w:pPr>
        <w:pStyle w:val="0"/>
        <w:jc w:val="center"/>
      </w:pPr>
      <w:r>
        <w:rPr>
          <w:sz w:val="20"/>
        </w:rPr>
        <w:t xml:space="preserve">тарифа методом доходности инвестированного капитала</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458"/>
        <w:gridCol w:w="1077"/>
        <w:gridCol w:w="715"/>
        <w:gridCol w:w="720"/>
        <w:gridCol w:w="720"/>
        <w:gridCol w:w="850"/>
        <w:gridCol w:w="794"/>
        <w:gridCol w:w="794"/>
        <w:gridCol w:w="794"/>
        <w:gridCol w:w="794"/>
        <w:gridCol w:w="737"/>
      </w:tblGrid>
      <w:tr>
        <w:tc>
          <w:tcPr>
            <w:tcW w:w="907" w:type="dxa"/>
            <w:vMerge w:val="restart"/>
          </w:tcPr>
          <w:p>
            <w:pPr>
              <w:pStyle w:val="0"/>
              <w:jc w:val="center"/>
            </w:pPr>
            <w:r>
              <w:rPr>
                <w:sz w:val="20"/>
              </w:rPr>
              <w:t xml:space="preserve">N п/п</w:t>
            </w:r>
          </w:p>
        </w:tc>
        <w:tc>
          <w:tcPr>
            <w:tcW w:w="3458" w:type="dxa"/>
            <w:vMerge w:val="restart"/>
          </w:tcPr>
          <w:p>
            <w:pPr>
              <w:pStyle w:val="0"/>
              <w:jc w:val="center"/>
            </w:pPr>
            <w:r>
              <w:rPr>
                <w:sz w:val="20"/>
              </w:rPr>
              <w:t xml:space="preserve">Наименование</w:t>
            </w:r>
          </w:p>
        </w:tc>
        <w:tc>
          <w:tcPr>
            <w:tcW w:w="1077" w:type="dxa"/>
            <w:vMerge w:val="restart"/>
          </w:tcPr>
          <w:p>
            <w:pPr>
              <w:pStyle w:val="0"/>
              <w:jc w:val="center"/>
            </w:pPr>
            <w:r>
              <w:rPr>
                <w:sz w:val="20"/>
              </w:rPr>
              <w:t xml:space="preserve">Единица измерений</w:t>
            </w:r>
          </w:p>
        </w:tc>
        <w:tc>
          <w:tcPr>
            <w:gridSpan w:val="2"/>
            <w:tcW w:w="1435" w:type="dxa"/>
          </w:tcPr>
          <w:p>
            <w:pPr>
              <w:pStyle w:val="0"/>
              <w:jc w:val="center"/>
            </w:pPr>
            <w:r>
              <w:rPr>
                <w:sz w:val="20"/>
              </w:rPr>
              <w:t xml:space="preserve">Истекший год (i-2)</w:t>
            </w:r>
          </w:p>
        </w:tc>
        <w:tc>
          <w:tcPr>
            <w:gridSpan w:val="2"/>
            <w:tcW w:w="1570" w:type="dxa"/>
          </w:tcPr>
          <w:p>
            <w:pPr>
              <w:pStyle w:val="0"/>
              <w:jc w:val="center"/>
            </w:pPr>
            <w:r>
              <w:rPr>
                <w:sz w:val="20"/>
              </w:rPr>
              <w:t xml:space="preserve">Текущий год (i-1)</w:t>
            </w:r>
          </w:p>
        </w:tc>
        <w:tc>
          <w:tcPr>
            <w:tcW w:w="794" w:type="dxa"/>
            <w:vMerge w:val="restart"/>
          </w:tcPr>
          <w:p>
            <w:pPr>
              <w:pStyle w:val="0"/>
              <w:jc w:val="center"/>
            </w:pPr>
            <w:r>
              <w:rPr>
                <w:sz w:val="20"/>
              </w:rPr>
              <w:t xml:space="preserve">1-й год</w:t>
            </w:r>
          </w:p>
        </w:tc>
        <w:tc>
          <w:tcPr>
            <w:tcW w:w="794" w:type="dxa"/>
            <w:vMerge w:val="restart"/>
          </w:tcPr>
          <w:p>
            <w:pPr>
              <w:pStyle w:val="0"/>
              <w:jc w:val="center"/>
            </w:pPr>
            <w:r>
              <w:rPr>
                <w:sz w:val="20"/>
              </w:rPr>
              <w:t xml:space="preserve">2-й год</w:t>
            </w:r>
          </w:p>
        </w:tc>
        <w:tc>
          <w:tcPr>
            <w:tcW w:w="794" w:type="dxa"/>
            <w:vMerge w:val="restart"/>
          </w:tcPr>
          <w:p>
            <w:pPr>
              <w:pStyle w:val="0"/>
              <w:jc w:val="center"/>
            </w:pPr>
            <w:r>
              <w:rPr>
                <w:sz w:val="20"/>
              </w:rPr>
              <w:t xml:space="preserve">3-й год</w:t>
            </w:r>
          </w:p>
        </w:tc>
        <w:tc>
          <w:tcPr>
            <w:tcW w:w="794" w:type="dxa"/>
            <w:vMerge w:val="restart"/>
          </w:tcPr>
          <w:p>
            <w:pPr>
              <w:pStyle w:val="0"/>
              <w:jc w:val="center"/>
            </w:pPr>
            <w:r>
              <w:rPr>
                <w:sz w:val="20"/>
              </w:rPr>
              <w:t xml:space="preserve">4-й год</w:t>
            </w:r>
          </w:p>
        </w:tc>
        <w:tc>
          <w:tcPr>
            <w:tcW w:w="737" w:type="dxa"/>
            <w:vMerge w:val="restart"/>
          </w:tcPr>
          <w:p>
            <w:pPr>
              <w:pStyle w:val="0"/>
              <w:jc w:val="center"/>
            </w:pPr>
            <w:r>
              <w:rPr>
                <w:sz w:val="20"/>
              </w:rPr>
              <w:t xml:space="preserve">5-й год</w:t>
            </w:r>
          </w:p>
        </w:tc>
      </w:tr>
      <w:tr>
        <w:tc>
          <w:tcPr>
            <w:vMerge w:val="continue"/>
          </w:tcPr>
          <w:p/>
        </w:tc>
        <w:tc>
          <w:tcPr>
            <w:vMerge w:val="continue"/>
          </w:tcPr>
          <w:p/>
        </w:tc>
        <w:tc>
          <w:tcPr>
            <w:vMerge w:val="continue"/>
          </w:tcPr>
          <w:p/>
        </w:tc>
        <w:tc>
          <w:tcPr>
            <w:tcW w:w="715" w:type="dxa"/>
          </w:tcPr>
          <w:p>
            <w:pPr>
              <w:pStyle w:val="0"/>
              <w:jc w:val="center"/>
            </w:pPr>
            <w:r>
              <w:rPr>
                <w:sz w:val="20"/>
              </w:rPr>
              <w:t xml:space="preserve">план</w:t>
            </w:r>
          </w:p>
        </w:tc>
        <w:tc>
          <w:tcPr>
            <w:tcW w:w="720" w:type="dxa"/>
          </w:tcPr>
          <w:p>
            <w:pPr>
              <w:pStyle w:val="0"/>
              <w:jc w:val="center"/>
            </w:pPr>
            <w:r>
              <w:rPr>
                <w:sz w:val="20"/>
              </w:rPr>
              <w:t xml:space="preserve">факт</w:t>
            </w:r>
          </w:p>
        </w:tc>
        <w:tc>
          <w:tcPr>
            <w:tcW w:w="720" w:type="dxa"/>
          </w:tcPr>
          <w:p>
            <w:pPr>
              <w:pStyle w:val="0"/>
              <w:jc w:val="center"/>
            </w:pPr>
            <w:r>
              <w:rPr>
                <w:sz w:val="20"/>
              </w:rPr>
              <w:t xml:space="preserve">план</w:t>
            </w:r>
          </w:p>
        </w:tc>
        <w:tc>
          <w:tcPr>
            <w:tcW w:w="850" w:type="dxa"/>
          </w:tcPr>
          <w:p>
            <w:pPr>
              <w:pStyle w:val="0"/>
              <w:jc w:val="center"/>
            </w:pPr>
            <w:r>
              <w:rPr>
                <w:sz w:val="20"/>
              </w:rPr>
              <w:t xml:space="preserve">ожид</w:t>
            </w:r>
          </w:p>
        </w:tc>
        <w:tc>
          <w:tcPr>
            <w:vMerge w:val="continue"/>
          </w:tcPr>
          <w:p/>
        </w:tc>
        <w:tc>
          <w:tcPr>
            <w:vMerge w:val="continue"/>
          </w:tcPr>
          <w:p/>
        </w:tc>
        <w:tc>
          <w:tcPr>
            <w:vMerge w:val="continue"/>
          </w:tcPr>
          <w:p/>
        </w:tc>
        <w:tc>
          <w:tcPr>
            <w:vMerge w:val="continue"/>
          </w:tcPr>
          <w:p/>
        </w:tc>
        <w:tc>
          <w:tcPr>
            <w:vMerge w:val="continue"/>
          </w:tcPr>
          <w:p/>
        </w:tc>
      </w:tr>
      <w:tr>
        <w:tc>
          <w:tcPr>
            <w:tcW w:w="907" w:type="dxa"/>
          </w:tcPr>
          <w:p>
            <w:pPr>
              <w:pStyle w:val="0"/>
              <w:jc w:val="center"/>
            </w:pPr>
            <w:r>
              <w:rPr>
                <w:sz w:val="20"/>
              </w:rPr>
              <w:t xml:space="preserve">1</w:t>
            </w:r>
          </w:p>
        </w:tc>
        <w:tc>
          <w:tcPr>
            <w:tcW w:w="3458" w:type="dxa"/>
          </w:tcPr>
          <w:p>
            <w:pPr>
              <w:pStyle w:val="0"/>
              <w:jc w:val="center"/>
            </w:pPr>
            <w:r>
              <w:rPr>
                <w:sz w:val="20"/>
              </w:rPr>
              <w:t xml:space="preserve">2</w:t>
            </w:r>
          </w:p>
        </w:tc>
        <w:tc>
          <w:tcPr>
            <w:tcW w:w="1077" w:type="dxa"/>
          </w:tcPr>
          <w:p>
            <w:pPr>
              <w:pStyle w:val="0"/>
              <w:jc w:val="center"/>
            </w:pPr>
            <w:r>
              <w:rPr>
                <w:sz w:val="20"/>
              </w:rPr>
              <w:t xml:space="preserve">3</w:t>
            </w:r>
          </w:p>
        </w:tc>
        <w:tc>
          <w:tcPr>
            <w:tcW w:w="715" w:type="dxa"/>
          </w:tcPr>
          <w:p>
            <w:pPr>
              <w:pStyle w:val="0"/>
              <w:jc w:val="center"/>
            </w:pPr>
            <w:r>
              <w:rPr>
                <w:sz w:val="20"/>
              </w:rPr>
              <w:t xml:space="preserve">4</w:t>
            </w:r>
          </w:p>
        </w:tc>
        <w:tc>
          <w:tcPr>
            <w:tcW w:w="720" w:type="dxa"/>
          </w:tcPr>
          <w:p>
            <w:pPr>
              <w:pStyle w:val="0"/>
              <w:jc w:val="center"/>
            </w:pPr>
            <w:r>
              <w:rPr>
                <w:sz w:val="20"/>
              </w:rPr>
              <w:t xml:space="preserve">5</w:t>
            </w:r>
          </w:p>
        </w:tc>
        <w:tc>
          <w:tcPr>
            <w:tcW w:w="720" w:type="dxa"/>
          </w:tcPr>
          <w:p>
            <w:pPr>
              <w:pStyle w:val="0"/>
              <w:jc w:val="center"/>
            </w:pPr>
            <w:r>
              <w:rPr>
                <w:sz w:val="20"/>
              </w:rPr>
              <w:t xml:space="preserve">6</w:t>
            </w:r>
          </w:p>
        </w:tc>
        <w:tc>
          <w:tcPr>
            <w:tcW w:w="850" w:type="dxa"/>
          </w:tcPr>
          <w:p>
            <w:pPr>
              <w:pStyle w:val="0"/>
              <w:jc w:val="center"/>
            </w:pPr>
            <w:r>
              <w:rPr>
                <w:sz w:val="20"/>
              </w:rPr>
              <w:t xml:space="preserve">7</w:t>
            </w:r>
          </w:p>
        </w:tc>
        <w:tc>
          <w:tcPr>
            <w:tcW w:w="794" w:type="dxa"/>
          </w:tcPr>
          <w:p>
            <w:pPr>
              <w:pStyle w:val="0"/>
              <w:jc w:val="center"/>
            </w:pPr>
            <w:r>
              <w:rPr>
                <w:sz w:val="20"/>
              </w:rPr>
              <w:t xml:space="preserve">8</w:t>
            </w:r>
          </w:p>
        </w:tc>
        <w:tc>
          <w:tcPr>
            <w:tcW w:w="794" w:type="dxa"/>
          </w:tcPr>
          <w:p>
            <w:pPr>
              <w:pStyle w:val="0"/>
              <w:jc w:val="center"/>
            </w:pPr>
            <w:r>
              <w:rPr>
                <w:sz w:val="20"/>
              </w:rPr>
              <w:t xml:space="preserve">9</w:t>
            </w:r>
          </w:p>
        </w:tc>
        <w:tc>
          <w:tcPr>
            <w:tcW w:w="794" w:type="dxa"/>
          </w:tcPr>
          <w:p>
            <w:pPr>
              <w:pStyle w:val="0"/>
              <w:jc w:val="center"/>
            </w:pPr>
            <w:r>
              <w:rPr>
                <w:sz w:val="20"/>
              </w:rPr>
              <w:t xml:space="preserve">10</w:t>
            </w:r>
          </w:p>
        </w:tc>
        <w:tc>
          <w:tcPr>
            <w:tcW w:w="794" w:type="dxa"/>
          </w:tcPr>
          <w:p>
            <w:pPr>
              <w:pStyle w:val="0"/>
              <w:jc w:val="center"/>
            </w:pPr>
            <w:r>
              <w:rPr>
                <w:sz w:val="20"/>
              </w:rPr>
              <w:t xml:space="preserve">11</w:t>
            </w:r>
          </w:p>
        </w:tc>
        <w:tc>
          <w:tcPr>
            <w:tcW w:w="737" w:type="dxa"/>
          </w:tcPr>
          <w:p>
            <w:pPr>
              <w:pStyle w:val="0"/>
              <w:jc w:val="center"/>
            </w:pPr>
            <w:r>
              <w:rPr>
                <w:sz w:val="20"/>
              </w:rPr>
              <w:t xml:space="preserve">12</w:t>
            </w:r>
          </w:p>
        </w:tc>
      </w:tr>
      <w:tr>
        <w:tc>
          <w:tcPr>
            <w:tcW w:w="907" w:type="dxa"/>
            <w:vAlign w:val="center"/>
          </w:tcPr>
          <w:p>
            <w:pPr>
              <w:pStyle w:val="0"/>
            </w:pPr>
            <w:r>
              <w:rPr>
                <w:sz w:val="20"/>
              </w:rPr>
              <w:t xml:space="preserve">1</w:t>
            </w:r>
          </w:p>
        </w:tc>
        <w:tc>
          <w:tcPr>
            <w:tcW w:w="3458" w:type="dxa"/>
          </w:tcPr>
          <w:p>
            <w:pPr>
              <w:pStyle w:val="0"/>
              <w:jc w:val="both"/>
            </w:pPr>
            <w:r>
              <w:rPr>
                <w:sz w:val="20"/>
              </w:rPr>
              <w:t xml:space="preserve">Необходимая валовая выручка</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1.1</w:t>
            </w:r>
          </w:p>
        </w:tc>
        <w:tc>
          <w:tcPr>
            <w:tcW w:w="3458" w:type="dxa"/>
          </w:tcPr>
          <w:p>
            <w:pPr>
              <w:pStyle w:val="0"/>
              <w:ind w:firstLine="173"/>
              <w:jc w:val="both"/>
            </w:pPr>
            <w:r>
              <w:rPr>
                <w:sz w:val="20"/>
              </w:rPr>
              <w:t xml:space="preserve">Текущие расходы</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1.1.1</w:t>
            </w:r>
          </w:p>
        </w:tc>
        <w:tc>
          <w:tcPr>
            <w:tcW w:w="3458" w:type="dxa"/>
          </w:tcPr>
          <w:p>
            <w:pPr>
              <w:pStyle w:val="0"/>
              <w:ind w:firstLine="353"/>
              <w:jc w:val="both"/>
            </w:pPr>
            <w:r>
              <w:rPr>
                <w:sz w:val="20"/>
              </w:rPr>
              <w:t xml:space="preserve">Операционные расходы</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1.1.1.1</w:t>
            </w:r>
          </w:p>
        </w:tc>
        <w:tc>
          <w:tcPr>
            <w:tcW w:w="3458" w:type="dxa"/>
          </w:tcPr>
          <w:p>
            <w:pPr>
              <w:pStyle w:val="0"/>
              <w:ind w:firstLine="540"/>
              <w:jc w:val="both"/>
            </w:pPr>
            <w:r>
              <w:rPr>
                <w:sz w:val="20"/>
              </w:rPr>
              <w:t xml:space="preserve">индекс эффективности расходов</w:t>
            </w:r>
          </w:p>
        </w:tc>
        <w:tc>
          <w:tcPr>
            <w:tcW w:w="1077" w:type="dxa"/>
            <w:vAlign w:val="center"/>
          </w:tcPr>
          <w:p>
            <w:pPr>
              <w:pStyle w:val="0"/>
              <w:jc w:val="center"/>
            </w:pPr>
            <w:r>
              <w:rPr>
                <w:sz w:val="20"/>
              </w:rPr>
              <w:t xml:space="preserve">%</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1.1.1.2</w:t>
            </w:r>
          </w:p>
        </w:tc>
        <w:tc>
          <w:tcPr>
            <w:tcW w:w="3458" w:type="dxa"/>
          </w:tcPr>
          <w:p>
            <w:pPr>
              <w:pStyle w:val="0"/>
              <w:ind w:firstLine="540"/>
              <w:jc w:val="both"/>
            </w:pPr>
            <w:r>
              <w:rPr>
                <w:sz w:val="20"/>
              </w:rPr>
              <w:t xml:space="preserve">индекс потребительских цен</w:t>
            </w:r>
          </w:p>
        </w:tc>
        <w:tc>
          <w:tcPr>
            <w:tcW w:w="1077" w:type="dxa"/>
            <w:vAlign w:val="center"/>
          </w:tcPr>
          <w:p>
            <w:pPr>
              <w:pStyle w:val="0"/>
            </w:pPr>
            <w:r>
              <w:rPr>
                <w:sz w:val="20"/>
              </w:rPr>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1.1.1.3</w:t>
            </w:r>
          </w:p>
        </w:tc>
        <w:tc>
          <w:tcPr>
            <w:tcW w:w="3458" w:type="dxa"/>
          </w:tcPr>
          <w:p>
            <w:pPr>
              <w:pStyle w:val="0"/>
              <w:ind w:firstLine="540"/>
              <w:jc w:val="both"/>
            </w:pPr>
            <w:r>
              <w:rPr>
                <w:sz w:val="20"/>
              </w:rPr>
              <w:t xml:space="preserve">индекс количества активов</w:t>
            </w:r>
          </w:p>
        </w:tc>
        <w:tc>
          <w:tcPr>
            <w:tcW w:w="1077" w:type="dxa"/>
            <w:vAlign w:val="center"/>
          </w:tcPr>
          <w:p>
            <w:pPr>
              <w:pStyle w:val="0"/>
            </w:pPr>
            <w:r>
              <w:rPr>
                <w:sz w:val="20"/>
              </w:rPr>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1.1.2</w:t>
            </w:r>
          </w:p>
        </w:tc>
        <w:tc>
          <w:tcPr>
            <w:tcW w:w="3458" w:type="dxa"/>
          </w:tcPr>
          <w:p>
            <w:pPr>
              <w:pStyle w:val="0"/>
              <w:ind w:firstLine="353"/>
              <w:jc w:val="both"/>
            </w:pPr>
            <w:r>
              <w:rPr>
                <w:sz w:val="20"/>
              </w:rPr>
              <w:t xml:space="preserve">Расходы на электрическую энергию</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1.1.3</w:t>
            </w:r>
          </w:p>
        </w:tc>
        <w:tc>
          <w:tcPr>
            <w:tcW w:w="3458" w:type="dxa"/>
          </w:tcPr>
          <w:p>
            <w:pPr>
              <w:pStyle w:val="0"/>
              <w:ind w:firstLine="353"/>
              <w:jc w:val="both"/>
            </w:pPr>
            <w:r>
              <w:rPr>
                <w:sz w:val="20"/>
              </w:rPr>
              <w:t xml:space="preserve">Неподконтрольные расходы</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1.2</w:t>
            </w:r>
          </w:p>
        </w:tc>
        <w:tc>
          <w:tcPr>
            <w:tcW w:w="3458" w:type="dxa"/>
          </w:tcPr>
          <w:p>
            <w:pPr>
              <w:pStyle w:val="0"/>
              <w:ind w:firstLine="173"/>
              <w:jc w:val="both"/>
            </w:pPr>
            <w:r>
              <w:rPr>
                <w:sz w:val="20"/>
              </w:rPr>
              <w:t xml:space="preserve">Возврат капитала</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1.2.1</w:t>
            </w:r>
          </w:p>
        </w:tc>
        <w:tc>
          <w:tcPr>
            <w:tcW w:w="3458" w:type="dxa"/>
          </w:tcPr>
          <w:p>
            <w:pPr>
              <w:pStyle w:val="0"/>
              <w:ind w:firstLine="540"/>
              <w:jc w:val="both"/>
            </w:pPr>
            <w:r>
              <w:rPr>
                <w:sz w:val="20"/>
              </w:rPr>
              <w:t xml:space="preserve">Полная величина инвестированного капитала</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1.2.2</w:t>
            </w:r>
          </w:p>
        </w:tc>
        <w:tc>
          <w:tcPr>
            <w:tcW w:w="3458" w:type="dxa"/>
          </w:tcPr>
          <w:p>
            <w:pPr>
              <w:pStyle w:val="0"/>
              <w:ind w:firstLine="540"/>
              <w:jc w:val="both"/>
            </w:pPr>
            <w:r>
              <w:rPr>
                <w:sz w:val="20"/>
              </w:rPr>
              <w:t xml:space="preserve">Срок возврата инвестированного капитала</w:t>
            </w:r>
          </w:p>
        </w:tc>
        <w:tc>
          <w:tcPr>
            <w:tcW w:w="1077" w:type="dxa"/>
            <w:vAlign w:val="center"/>
          </w:tcPr>
          <w:p>
            <w:pPr>
              <w:pStyle w:val="0"/>
              <w:jc w:val="center"/>
            </w:pPr>
            <w:r>
              <w:rPr>
                <w:sz w:val="20"/>
              </w:rPr>
              <w:t xml:space="preserve">лет</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1.3</w:t>
            </w:r>
          </w:p>
        </w:tc>
        <w:tc>
          <w:tcPr>
            <w:tcW w:w="3458" w:type="dxa"/>
          </w:tcPr>
          <w:p>
            <w:pPr>
              <w:pStyle w:val="0"/>
              <w:ind w:firstLine="173"/>
              <w:jc w:val="both"/>
            </w:pPr>
            <w:r>
              <w:rPr>
                <w:sz w:val="20"/>
              </w:rPr>
              <w:t xml:space="preserve">Доход на инвестированный капитал</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1.3.1</w:t>
            </w:r>
          </w:p>
        </w:tc>
        <w:tc>
          <w:tcPr>
            <w:tcW w:w="3458" w:type="dxa"/>
          </w:tcPr>
          <w:p>
            <w:pPr>
              <w:pStyle w:val="0"/>
              <w:ind w:firstLine="353"/>
              <w:jc w:val="both"/>
            </w:pPr>
            <w:r>
              <w:rPr>
                <w:sz w:val="20"/>
              </w:rPr>
              <w:t xml:space="preserve">Первоначальный размер инвестированного капитала</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1.3.2</w:t>
            </w:r>
          </w:p>
        </w:tc>
        <w:tc>
          <w:tcPr>
            <w:tcW w:w="3458" w:type="dxa"/>
          </w:tcPr>
          <w:p>
            <w:pPr>
              <w:pStyle w:val="0"/>
              <w:ind w:firstLine="353"/>
              <w:jc w:val="both"/>
            </w:pPr>
            <w:r>
              <w:rPr>
                <w:sz w:val="20"/>
              </w:rPr>
              <w:t xml:space="preserve">Доходность первоначального размера инвестированного капитала</w:t>
            </w:r>
          </w:p>
        </w:tc>
        <w:tc>
          <w:tcPr>
            <w:tcW w:w="1077" w:type="dxa"/>
            <w:vAlign w:val="center"/>
          </w:tcPr>
          <w:p>
            <w:pPr>
              <w:pStyle w:val="0"/>
              <w:jc w:val="center"/>
            </w:pPr>
            <w:r>
              <w:rPr>
                <w:sz w:val="20"/>
              </w:rPr>
              <w:t xml:space="preserve">%</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1.3.3</w:t>
            </w:r>
          </w:p>
        </w:tc>
        <w:tc>
          <w:tcPr>
            <w:tcW w:w="3458" w:type="dxa"/>
          </w:tcPr>
          <w:p>
            <w:pPr>
              <w:pStyle w:val="0"/>
              <w:ind w:firstLine="353"/>
              <w:jc w:val="both"/>
            </w:pPr>
            <w:r>
              <w:rPr>
                <w:sz w:val="20"/>
              </w:rPr>
              <w:t xml:space="preserve">База инвестированного капитала</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1.3.4</w:t>
            </w:r>
          </w:p>
        </w:tc>
        <w:tc>
          <w:tcPr>
            <w:tcW w:w="3458" w:type="dxa"/>
          </w:tcPr>
          <w:p>
            <w:pPr>
              <w:pStyle w:val="0"/>
              <w:ind w:firstLine="353"/>
              <w:jc w:val="both"/>
            </w:pPr>
            <w:r>
              <w:rPr>
                <w:sz w:val="20"/>
              </w:rPr>
              <w:t xml:space="preserve">Чистый оборотный капитал</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1.3.4.1</w:t>
            </w:r>
          </w:p>
        </w:tc>
        <w:tc>
          <w:tcPr>
            <w:tcW w:w="3458" w:type="dxa"/>
          </w:tcPr>
          <w:p>
            <w:pPr>
              <w:pStyle w:val="0"/>
              <w:ind w:firstLine="540"/>
              <w:jc w:val="both"/>
            </w:pPr>
            <w:r>
              <w:rPr>
                <w:sz w:val="20"/>
              </w:rPr>
              <w:t xml:space="preserve">Норматив чистого оборотного капитала</w:t>
            </w:r>
          </w:p>
        </w:tc>
        <w:tc>
          <w:tcPr>
            <w:tcW w:w="1077" w:type="dxa"/>
            <w:vAlign w:val="center"/>
          </w:tcPr>
          <w:p>
            <w:pPr>
              <w:pStyle w:val="0"/>
              <w:jc w:val="center"/>
            </w:pPr>
            <w:r>
              <w:rPr>
                <w:sz w:val="20"/>
              </w:rPr>
              <w:t xml:space="preserve">%</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1.3.5</w:t>
            </w:r>
          </w:p>
        </w:tc>
        <w:tc>
          <w:tcPr>
            <w:tcW w:w="3458" w:type="dxa"/>
          </w:tcPr>
          <w:p>
            <w:pPr>
              <w:pStyle w:val="0"/>
              <w:ind w:firstLine="540"/>
              <w:jc w:val="both"/>
            </w:pPr>
            <w:r>
              <w:rPr>
                <w:sz w:val="20"/>
              </w:rPr>
              <w:t xml:space="preserve">Норма доходности</w:t>
            </w:r>
          </w:p>
        </w:tc>
        <w:tc>
          <w:tcPr>
            <w:tcW w:w="1077" w:type="dxa"/>
            <w:vAlign w:val="center"/>
          </w:tcPr>
          <w:p>
            <w:pPr>
              <w:pStyle w:val="0"/>
              <w:jc w:val="center"/>
            </w:pPr>
            <w:r>
              <w:rPr>
                <w:sz w:val="20"/>
              </w:rPr>
              <w:t xml:space="preserve">%</w:t>
            </w:r>
          </w:p>
        </w:tc>
        <w:tc>
          <w:tcPr>
            <w:tcW w:w="715"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37" w:type="dxa"/>
          </w:tcPr>
          <w:p>
            <w:pPr>
              <w:pStyle w:val="0"/>
            </w:pPr>
            <w:r>
              <w:rPr>
                <w:sz w:val="20"/>
              </w:rPr>
            </w:r>
          </w:p>
        </w:tc>
      </w:tr>
      <w:tr>
        <w:tc>
          <w:tcPr>
            <w:tcW w:w="907" w:type="dxa"/>
            <w:vAlign w:val="center"/>
          </w:tcPr>
          <w:p>
            <w:pPr>
              <w:pStyle w:val="0"/>
            </w:pPr>
            <w:r>
              <w:rPr>
                <w:sz w:val="20"/>
              </w:rPr>
              <w:t xml:space="preserve">1.3.5.1</w:t>
            </w:r>
          </w:p>
        </w:tc>
        <w:tc>
          <w:tcPr>
            <w:tcW w:w="3458" w:type="dxa"/>
          </w:tcPr>
          <w:p>
            <w:pPr>
              <w:pStyle w:val="0"/>
              <w:ind w:firstLine="540"/>
              <w:jc w:val="both"/>
            </w:pPr>
            <w:r>
              <w:rPr>
                <w:sz w:val="20"/>
              </w:rPr>
              <w:t xml:space="preserve">Норма доходности нового капитала</w:t>
            </w:r>
          </w:p>
        </w:tc>
        <w:tc>
          <w:tcPr>
            <w:tcW w:w="1077" w:type="dxa"/>
            <w:vAlign w:val="center"/>
          </w:tcPr>
          <w:p>
            <w:pPr>
              <w:pStyle w:val="0"/>
              <w:jc w:val="center"/>
            </w:pPr>
            <w:r>
              <w:rPr>
                <w:sz w:val="20"/>
              </w:rPr>
              <w:t xml:space="preserve">%</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1.3.5.2</w:t>
            </w:r>
          </w:p>
        </w:tc>
        <w:tc>
          <w:tcPr>
            <w:tcW w:w="3458" w:type="dxa"/>
          </w:tcPr>
          <w:p>
            <w:pPr>
              <w:pStyle w:val="0"/>
              <w:ind w:firstLine="540"/>
              <w:jc w:val="both"/>
            </w:pPr>
            <w:r>
              <w:rPr>
                <w:sz w:val="20"/>
              </w:rPr>
              <w:t xml:space="preserve">Норма доходности старого капитала</w:t>
            </w:r>
          </w:p>
        </w:tc>
        <w:tc>
          <w:tcPr>
            <w:tcW w:w="1077" w:type="dxa"/>
            <w:vAlign w:val="center"/>
          </w:tcPr>
          <w:p>
            <w:pPr>
              <w:pStyle w:val="0"/>
              <w:jc w:val="center"/>
            </w:pPr>
            <w:r>
              <w:rPr>
                <w:sz w:val="20"/>
              </w:rPr>
              <w:t xml:space="preserve">%</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2</w:t>
            </w:r>
          </w:p>
        </w:tc>
        <w:tc>
          <w:tcPr>
            <w:tcW w:w="3458" w:type="dxa"/>
          </w:tcPr>
          <w:p>
            <w:pPr>
              <w:pStyle w:val="0"/>
              <w:jc w:val="both"/>
            </w:pPr>
            <w:r>
              <w:rPr>
                <w:sz w:val="20"/>
              </w:rPr>
              <w:t xml:space="preserve">Корректировка НВВ</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2.1</w:t>
            </w:r>
          </w:p>
        </w:tc>
        <w:tc>
          <w:tcPr>
            <w:tcW w:w="3458" w:type="dxa"/>
          </w:tcPr>
          <w:p>
            <w:pPr>
              <w:pStyle w:val="0"/>
              <w:ind w:firstLine="173"/>
              <w:jc w:val="both"/>
            </w:pPr>
            <w:r>
              <w:rPr>
                <w:sz w:val="20"/>
              </w:rPr>
              <w:t xml:space="preserve">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w:t>
            </w:r>
          </w:p>
        </w:tc>
        <w:tc>
          <w:tcPr>
            <w:tcW w:w="1077" w:type="dxa"/>
            <w:vAlign w:val="center"/>
          </w:tcPr>
          <w:p>
            <w:pPr>
              <w:pStyle w:val="0"/>
            </w:pPr>
            <w:r>
              <w:rPr>
                <w:sz w:val="20"/>
              </w:rPr>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2.2</w:t>
            </w:r>
          </w:p>
        </w:tc>
        <w:tc>
          <w:tcPr>
            <w:tcW w:w="3458" w:type="dxa"/>
          </w:tcPr>
          <w:p>
            <w:pPr>
              <w:pStyle w:val="0"/>
              <w:ind w:firstLine="173"/>
              <w:jc w:val="both"/>
            </w:pPr>
            <w:r>
              <w:rPr>
                <w:sz w:val="20"/>
              </w:rPr>
              <w:t xml:space="preserve">Отклонение фактически достигнутого уровня неподконтрольных расходов</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2.3</w:t>
            </w:r>
          </w:p>
        </w:tc>
        <w:tc>
          <w:tcPr>
            <w:tcW w:w="3458" w:type="dxa"/>
          </w:tcPr>
          <w:p>
            <w:pPr>
              <w:pStyle w:val="0"/>
              <w:ind w:firstLine="173"/>
              <w:jc w:val="both"/>
            </w:pPr>
            <w:r>
              <w:rPr>
                <w:sz w:val="20"/>
              </w:rPr>
              <w:t xml:space="preserve">Ввод объектов системы водоснабжения и (или) водоотведения в эксплуатацию и изменение утвержденной инвестиционной программы</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2.4</w:t>
            </w:r>
          </w:p>
        </w:tc>
        <w:tc>
          <w:tcPr>
            <w:tcW w:w="3458" w:type="dxa"/>
          </w:tcPr>
          <w:p>
            <w:pPr>
              <w:pStyle w:val="0"/>
              <w:ind w:firstLine="173"/>
              <w:jc w:val="both"/>
            </w:pPr>
            <w:r>
              <w:rPr>
                <w:sz w:val="20"/>
              </w:rPr>
              <w:t xml:space="preserve">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2.5</w:t>
            </w:r>
          </w:p>
        </w:tc>
        <w:tc>
          <w:tcPr>
            <w:tcW w:w="3458" w:type="dxa"/>
          </w:tcPr>
          <w:p>
            <w:pPr>
              <w:pStyle w:val="0"/>
              <w:ind w:firstLine="173"/>
              <w:jc w:val="both"/>
            </w:pPr>
            <w:r>
              <w:rPr>
                <w:sz w:val="20"/>
              </w:rPr>
              <w:t xml:space="preserve">Изменение доходности долгосрочных государственных обязательств</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3</w:t>
            </w:r>
          </w:p>
        </w:tc>
        <w:tc>
          <w:tcPr>
            <w:tcW w:w="3458" w:type="dxa"/>
          </w:tcPr>
          <w:p>
            <w:pPr>
              <w:pStyle w:val="0"/>
              <w:jc w:val="both"/>
            </w:pPr>
            <w:r>
              <w:rPr>
                <w:sz w:val="20"/>
              </w:rPr>
              <w:t xml:space="preserve">Итого НВВ для расчета тарифа</w:t>
            </w:r>
          </w:p>
        </w:tc>
        <w:tc>
          <w:tcPr>
            <w:tcW w:w="1077" w:type="dxa"/>
            <w:vAlign w:val="center"/>
          </w:tcPr>
          <w:p>
            <w:pPr>
              <w:pStyle w:val="0"/>
              <w:jc w:val="center"/>
            </w:pPr>
            <w:r>
              <w:rPr>
                <w:sz w:val="20"/>
              </w:rPr>
              <w:t xml:space="preserve">тыс. руб.</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4</w:t>
            </w:r>
          </w:p>
        </w:tc>
        <w:tc>
          <w:tcPr>
            <w:tcW w:w="3458" w:type="dxa"/>
          </w:tcPr>
          <w:p>
            <w:pPr>
              <w:pStyle w:val="0"/>
              <w:jc w:val="both"/>
            </w:pPr>
            <w:r>
              <w:rPr>
                <w:sz w:val="20"/>
              </w:rPr>
              <w:t xml:space="preserve">Тариф на водоснабжение (водоотведение)</w:t>
            </w:r>
          </w:p>
        </w:tc>
        <w:tc>
          <w:tcPr>
            <w:tcW w:w="1077" w:type="dxa"/>
            <w:vAlign w:val="center"/>
          </w:tcPr>
          <w:p>
            <w:pPr>
              <w:pStyle w:val="0"/>
              <w:jc w:val="center"/>
            </w:pPr>
            <w:r>
              <w:rPr>
                <w:sz w:val="20"/>
              </w:rPr>
              <w:t xml:space="preserve">руб./куб. м</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5</w:t>
            </w:r>
          </w:p>
        </w:tc>
        <w:tc>
          <w:tcPr>
            <w:tcW w:w="3458" w:type="dxa"/>
          </w:tcPr>
          <w:p>
            <w:pPr>
              <w:pStyle w:val="0"/>
              <w:jc w:val="both"/>
            </w:pPr>
            <w:r>
              <w:rPr>
                <w:sz w:val="20"/>
              </w:rPr>
              <w:t xml:space="preserve">Объем водоснабжения (водоотведения)</w:t>
            </w:r>
          </w:p>
        </w:tc>
        <w:tc>
          <w:tcPr>
            <w:tcW w:w="1077" w:type="dxa"/>
            <w:vAlign w:val="center"/>
          </w:tcPr>
          <w:p>
            <w:pPr>
              <w:pStyle w:val="0"/>
              <w:jc w:val="center"/>
            </w:pPr>
            <w:r>
              <w:rPr>
                <w:sz w:val="20"/>
              </w:rPr>
              <w:t xml:space="preserve">тыс. куб. м</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r>
        <w:tc>
          <w:tcPr>
            <w:tcW w:w="907" w:type="dxa"/>
            <w:vAlign w:val="center"/>
          </w:tcPr>
          <w:p>
            <w:pPr>
              <w:pStyle w:val="0"/>
            </w:pPr>
            <w:r>
              <w:rPr>
                <w:sz w:val="20"/>
              </w:rPr>
              <w:t xml:space="preserve">5.1</w:t>
            </w:r>
          </w:p>
        </w:tc>
        <w:tc>
          <w:tcPr>
            <w:tcW w:w="3458" w:type="dxa"/>
          </w:tcPr>
          <w:p>
            <w:pPr>
              <w:pStyle w:val="0"/>
              <w:ind w:firstLine="173"/>
              <w:jc w:val="both"/>
            </w:pPr>
            <w:r>
              <w:rPr>
                <w:sz w:val="20"/>
              </w:rPr>
              <w:t xml:space="preserve">Темп роста тарифа</w:t>
            </w:r>
          </w:p>
        </w:tc>
        <w:tc>
          <w:tcPr>
            <w:tcW w:w="1077" w:type="dxa"/>
            <w:vAlign w:val="center"/>
          </w:tcPr>
          <w:p>
            <w:pPr>
              <w:pStyle w:val="0"/>
              <w:jc w:val="center"/>
            </w:pPr>
            <w:r>
              <w:rPr>
                <w:sz w:val="20"/>
              </w:rPr>
              <w:t xml:space="preserve">%</w:t>
            </w:r>
          </w:p>
        </w:tc>
        <w:tc>
          <w:tcPr>
            <w:tcW w:w="715"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6.1</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02"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color w:val="392c69"/>
              </w:rPr>
              <w:t xml:space="preserve"> ФАС России от 15.07.2024 N 473/24)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Базовый уровень операционных расходов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20"/>
        <w:gridCol w:w="4950"/>
        <w:gridCol w:w="990"/>
        <w:gridCol w:w="990"/>
        <w:gridCol w:w="825"/>
        <w:gridCol w:w="825"/>
        <w:gridCol w:w="990"/>
        <w:gridCol w:w="1320"/>
      </w:tblGrid>
      <w:tr>
        <w:tc>
          <w:tcPr>
            <w:tcW w:w="1320" w:type="dxa"/>
            <w:vMerge w:val="restart"/>
          </w:tcPr>
          <w:p>
            <w:pPr>
              <w:pStyle w:val="0"/>
              <w:jc w:val="center"/>
            </w:pPr>
            <w:r>
              <w:rPr>
                <w:sz w:val="20"/>
              </w:rPr>
              <w:t xml:space="preserve">N п/п</w:t>
            </w:r>
          </w:p>
        </w:tc>
        <w:tc>
          <w:tcPr>
            <w:tcW w:w="4950" w:type="dxa"/>
            <w:vMerge w:val="restart"/>
          </w:tcPr>
          <w:p>
            <w:pPr>
              <w:pStyle w:val="0"/>
              <w:jc w:val="center"/>
            </w:pPr>
            <w:r>
              <w:rPr>
                <w:sz w:val="20"/>
              </w:rPr>
              <w:t xml:space="preserve">Наименование</w:t>
            </w:r>
          </w:p>
        </w:tc>
        <w:tc>
          <w:tcPr>
            <w:tcW w:w="990" w:type="dxa"/>
            <w:vMerge w:val="restart"/>
          </w:tcPr>
          <w:p>
            <w:pPr>
              <w:pStyle w:val="0"/>
              <w:jc w:val="center"/>
            </w:pPr>
            <w:r>
              <w:rPr>
                <w:sz w:val="20"/>
              </w:rPr>
              <w:t xml:space="preserve">Единица измерений</w:t>
            </w:r>
          </w:p>
        </w:tc>
        <w:tc>
          <w:tcPr>
            <w:gridSpan w:val="2"/>
            <w:tcW w:w="1815" w:type="dxa"/>
          </w:tcPr>
          <w:p>
            <w:pPr>
              <w:pStyle w:val="0"/>
              <w:jc w:val="center"/>
            </w:pPr>
            <w:r>
              <w:rPr>
                <w:sz w:val="20"/>
              </w:rPr>
              <w:t xml:space="preserve">Истекший год (i-2)</w:t>
            </w:r>
          </w:p>
        </w:tc>
        <w:tc>
          <w:tcPr>
            <w:gridSpan w:val="2"/>
            <w:tcW w:w="1815" w:type="dxa"/>
          </w:tcPr>
          <w:p>
            <w:pPr>
              <w:pStyle w:val="0"/>
              <w:jc w:val="center"/>
            </w:pPr>
            <w:r>
              <w:rPr>
                <w:sz w:val="20"/>
              </w:rPr>
              <w:t xml:space="preserve">Текущий год (i-1)</w:t>
            </w:r>
          </w:p>
        </w:tc>
        <w:tc>
          <w:tcPr>
            <w:tcW w:w="1320" w:type="dxa"/>
            <w:vMerge w:val="restart"/>
          </w:tcPr>
          <w:p>
            <w:pPr>
              <w:pStyle w:val="0"/>
              <w:jc w:val="center"/>
            </w:pPr>
            <w:r>
              <w:rPr>
                <w:sz w:val="20"/>
              </w:rPr>
              <w:t xml:space="preserve">Очередной год (i)</w:t>
            </w:r>
          </w:p>
        </w:tc>
      </w:tr>
      <w:tr>
        <w:tc>
          <w:tcPr>
            <w:vMerge w:val="continue"/>
          </w:tcPr>
          <w:p/>
        </w:tc>
        <w:tc>
          <w:tcPr>
            <w:vMerge w:val="continue"/>
          </w:tcPr>
          <w:p/>
        </w:tc>
        <w:tc>
          <w:tcPr>
            <w:vMerge w:val="continue"/>
          </w:tcPr>
          <w:p/>
        </w:tc>
        <w:tc>
          <w:tcPr>
            <w:tcW w:w="990" w:type="dxa"/>
          </w:tcPr>
          <w:p>
            <w:pPr>
              <w:pStyle w:val="0"/>
              <w:jc w:val="center"/>
            </w:pPr>
            <w:r>
              <w:rPr>
                <w:sz w:val="20"/>
              </w:rPr>
              <w:t xml:space="preserve">план</w:t>
            </w:r>
          </w:p>
        </w:tc>
        <w:tc>
          <w:tcPr>
            <w:tcW w:w="825" w:type="dxa"/>
          </w:tcPr>
          <w:p>
            <w:pPr>
              <w:pStyle w:val="0"/>
              <w:jc w:val="center"/>
            </w:pPr>
            <w:r>
              <w:rPr>
                <w:sz w:val="20"/>
              </w:rPr>
              <w:t xml:space="preserve">факт</w:t>
            </w:r>
          </w:p>
        </w:tc>
        <w:tc>
          <w:tcPr>
            <w:tcW w:w="825" w:type="dxa"/>
          </w:tcPr>
          <w:p>
            <w:pPr>
              <w:pStyle w:val="0"/>
              <w:jc w:val="center"/>
            </w:pPr>
            <w:r>
              <w:rPr>
                <w:sz w:val="20"/>
              </w:rPr>
              <w:t xml:space="preserve">план</w:t>
            </w:r>
          </w:p>
        </w:tc>
        <w:tc>
          <w:tcPr>
            <w:tcW w:w="990" w:type="dxa"/>
          </w:tcPr>
          <w:p>
            <w:pPr>
              <w:pStyle w:val="0"/>
              <w:jc w:val="center"/>
            </w:pPr>
            <w:r>
              <w:rPr>
                <w:sz w:val="20"/>
              </w:rPr>
              <w:t xml:space="preserve">ожид</w:t>
            </w:r>
          </w:p>
        </w:tc>
        <w:tc>
          <w:tcPr>
            <w:vMerge w:val="continue"/>
          </w:tcPr>
          <w:p/>
        </w:tc>
      </w:tr>
      <w:tr>
        <w:tc>
          <w:tcPr>
            <w:tcW w:w="1320" w:type="dxa"/>
          </w:tcPr>
          <w:p>
            <w:pPr>
              <w:pStyle w:val="0"/>
              <w:jc w:val="center"/>
            </w:pPr>
            <w:r>
              <w:rPr>
                <w:sz w:val="20"/>
              </w:rPr>
              <w:t xml:space="preserve">1</w:t>
            </w:r>
          </w:p>
        </w:tc>
        <w:tc>
          <w:tcPr>
            <w:tcW w:w="4950" w:type="dxa"/>
          </w:tcPr>
          <w:p>
            <w:pPr>
              <w:pStyle w:val="0"/>
              <w:jc w:val="center"/>
            </w:pPr>
            <w:r>
              <w:rPr>
                <w:sz w:val="20"/>
              </w:rPr>
              <w:t xml:space="preserve">2</w:t>
            </w:r>
          </w:p>
        </w:tc>
        <w:tc>
          <w:tcPr>
            <w:tcW w:w="990" w:type="dxa"/>
          </w:tcPr>
          <w:p>
            <w:pPr>
              <w:pStyle w:val="0"/>
              <w:jc w:val="center"/>
            </w:pPr>
            <w:r>
              <w:rPr>
                <w:sz w:val="20"/>
              </w:rPr>
              <w:t xml:space="preserve">3</w:t>
            </w:r>
          </w:p>
        </w:tc>
        <w:tc>
          <w:tcPr>
            <w:tcW w:w="990" w:type="dxa"/>
          </w:tcPr>
          <w:p>
            <w:pPr>
              <w:pStyle w:val="0"/>
              <w:jc w:val="center"/>
            </w:pPr>
            <w:r>
              <w:rPr>
                <w:sz w:val="20"/>
              </w:rPr>
              <w:t xml:space="preserve">4</w:t>
            </w:r>
          </w:p>
        </w:tc>
        <w:tc>
          <w:tcPr>
            <w:tcW w:w="825" w:type="dxa"/>
          </w:tcPr>
          <w:p>
            <w:pPr>
              <w:pStyle w:val="0"/>
              <w:jc w:val="center"/>
            </w:pPr>
            <w:r>
              <w:rPr>
                <w:sz w:val="20"/>
              </w:rPr>
              <w:t xml:space="preserve">5</w:t>
            </w:r>
          </w:p>
        </w:tc>
        <w:tc>
          <w:tcPr>
            <w:tcW w:w="825" w:type="dxa"/>
          </w:tcPr>
          <w:p>
            <w:pPr>
              <w:pStyle w:val="0"/>
              <w:jc w:val="center"/>
            </w:pPr>
            <w:r>
              <w:rPr>
                <w:sz w:val="20"/>
              </w:rPr>
              <w:t xml:space="preserve">6</w:t>
            </w:r>
          </w:p>
        </w:tc>
        <w:tc>
          <w:tcPr>
            <w:tcW w:w="990" w:type="dxa"/>
          </w:tcPr>
          <w:p>
            <w:pPr>
              <w:pStyle w:val="0"/>
              <w:jc w:val="center"/>
            </w:pPr>
            <w:r>
              <w:rPr>
                <w:sz w:val="20"/>
              </w:rPr>
              <w:t xml:space="preserve">7</w:t>
            </w:r>
          </w:p>
        </w:tc>
        <w:tc>
          <w:tcPr>
            <w:tcW w:w="1320" w:type="dxa"/>
          </w:tcPr>
          <w:p>
            <w:pPr>
              <w:pStyle w:val="0"/>
              <w:jc w:val="center"/>
            </w:pPr>
            <w:r>
              <w:rPr>
                <w:sz w:val="20"/>
              </w:rPr>
              <w:t xml:space="preserve">8</w:t>
            </w:r>
          </w:p>
        </w:tc>
      </w:tr>
      <w:tr>
        <w:tc>
          <w:tcPr>
            <w:tcW w:w="1320" w:type="dxa"/>
          </w:tcPr>
          <w:p>
            <w:pPr>
              <w:pStyle w:val="0"/>
              <w:outlineLvl w:val="2"/>
              <w:jc w:val="center"/>
            </w:pPr>
            <w:r>
              <w:rPr>
                <w:sz w:val="20"/>
              </w:rPr>
              <w:t xml:space="preserve">1</w:t>
            </w:r>
          </w:p>
        </w:tc>
        <w:tc>
          <w:tcPr>
            <w:tcW w:w="4950" w:type="dxa"/>
          </w:tcPr>
          <w:p>
            <w:pPr>
              <w:pStyle w:val="0"/>
            </w:pPr>
            <w:r>
              <w:rPr>
                <w:sz w:val="20"/>
              </w:rPr>
              <w:t xml:space="preserve">Операционные расходы</w:t>
            </w:r>
          </w:p>
        </w:tc>
        <w:tc>
          <w:tcPr>
            <w:tcW w:w="99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w:t>
            </w:r>
          </w:p>
        </w:tc>
        <w:tc>
          <w:tcPr>
            <w:tcW w:w="4950" w:type="dxa"/>
          </w:tcPr>
          <w:p>
            <w:pPr>
              <w:pStyle w:val="0"/>
            </w:pPr>
            <w:r>
              <w:rPr>
                <w:sz w:val="20"/>
              </w:rPr>
              <w:t xml:space="preserve">Производственные расходы:</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1.1.1</w:t>
            </w:r>
          </w:p>
        </w:tc>
        <w:tc>
          <w:tcPr>
            <w:tcW w:w="4950" w:type="dxa"/>
          </w:tcPr>
          <w:p>
            <w:pPr>
              <w:pStyle w:val="0"/>
              <w:ind w:left="283"/>
            </w:pPr>
            <w:r>
              <w:rPr>
                <w:sz w:val="20"/>
              </w:rPr>
              <w:t xml:space="preserve">расходы на приобретение сырья и материалов и их хранение, в том числе необходимых для эксплуатации цифровой инфраструктуры в сфере водоснабжения и водоотведения</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1.1.2</w:t>
            </w:r>
          </w:p>
        </w:tc>
        <w:tc>
          <w:tcPr>
            <w:tcW w:w="4950" w:type="dxa"/>
          </w:tcPr>
          <w:p>
            <w:pPr>
              <w:pStyle w:val="0"/>
              <w:ind w:left="283"/>
            </w:pPr>
            <w:r>
              <w:rPr>
                <w:sz w:val="20"/>
              </w:rPr>
              <w:t xml:space="preserve">расходы на оплату регулируемыми организациями выполняемых сторонними организациями работ и (или) услуг</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1.1.3</w:t>
            </w:r>
          </w:p>
        </w:tc>
        <w:tc>
          <w:tcPr>
            <w:tcW w:w="4950" w:type="dxa"/>
          </w:tcPr>
          <w:p>
            <w:pPr>
              <w:pStyle w:val="0"/>
              <w:ind w:left="283"/>
            </w:pPr>
            <w:r>
              <w:rPr>
                <w:sz w:val="20"/>
              </w:rPr>
              <w:t xml:space="preserve">расходы на оплату труда и отчисления на социальные нужды основного производственного персонала, в том числе:</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1.1.3.1</w:t>
            </w:r>
          </w:p>
        </w:tc>
        <w:tc>
          <w:tcPr>
            <w:tcW w:w="4950" w:type="dxa"/>
          </w:tcPr>
          <w:p>
            <w:pPr>
              <w:pStyle w:val="0"/>
              <w:ind w:left="567"/>
            </w:pPr>
            <w:r>
              <w:rPr>
                <w:sz w:val="20"/>
              </w:rPr>
              <w:t xml:space="preserve">налоги и сборы с фонда оплаты труда</w:t>
            </w:r>
          </w:p>
        </w:tc>
        <w:tc>
          <w:tcPr>
            <w:tcW w:w="990"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1.1.4</w:t>
            </w:r>
          </w:p>
        </w:tc>
        <w:tc>
          <w:tcPr>
            <w:tcW w:w="4950" w:type="dxa"/>
          </w:tcPr>
          <w:p>
            <w:pPr>
              <w:pStyle w:val="0"/>
              <w:ind w:left="283"/>
            </w:pPr>
            <w:r>
              <w:rPr>
                <w:sz w:val="20"/>
              </w:rPr>
              <w:t xml:space="preserve">расходы на уплату процентов по займам и кредитам</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1.1.5</w:t>
            </w:r>
          </w:p>
        </w:tc>
        <w:tc>
          <w:tcPr>
            <w:tcW w:w="4950" w:type="dxa"/>
          </w:tcPr>
          <w:p>
            <w:pPr>
              <w:pStyle w:val="0"/>
              <w:ind w:left="283"/>
            </w:pPr>
            <w:r>
              <w:rPr>
                <w:sz w:val="20"/>
              </w:rPr>
              <w:t xml:space="preserve">общехозяйственные расходы, в том числе расходы на оплату работ и (или) услуг по эксплуатации цифровой инфраструктуры в сфере водоснабжения и водоотведения, выполняемых по договорам сторонними организациями, определяемые в соответствии с Методическими указаниями</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1.1.6</w:t>
            </w:r>
          </w:p>
        </w:tc>
        <w:tc>
          <w:tcPr>
            <w:tcW w:w="4950" w:type="dxa"/>
          </w:tcPr>
          <w:p>
            <w:pPr>
              <w:pStyle w:val="0"/>
              <w:ind w:left="283"/>
            </w:pPr>
            <w:r>
              <w:rPr>
                <w:sz w:val="20"/>
              </w:rPr>
              <w:t xml:space="preserve">прочие производственные расходы:</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1.1.6.1</w:t>
            </w:r>
          </w:p>
        </w:tc>
        <w:tc>
          <w:tcPr>
            <w:tcW w:w="4950" w:type="dxa"/>
          </w:tcPr>
          <w:p>
            <w:pPr>
              <w:pStyle w:val="0"/>
              <w:ind w:left="567"/>
            </w:pPr>
            <w:r>
              <w:rPr>
                <w:sz w:val="20"/>
              </w:rPr>
              <w:t xml:space="preserve">расходы на амортизацию автотранспорта</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1.1.6.2</w:t>
            </w:r>
          </w:p>
        </w:tc>
        <w:tc>
          <w:tcPr>
            <w:tcW w:w="4950" w:type="dxa"/>
          </w:tcPr>
          <w:p>
            <w:pPr>
              <w:pStyle w:val="0"/>
              <w:ind w:left="567"/>
            </w:pPr>
            <w:r>
              <w:rPr>
                <w:sz w:val="20"/>
              </w:rPr>
              <w:t xml:space="preserve">расходы на обезвоживание, обезвреживание и захоронение осадка сточных вод</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1.1.6.3</w:t>
            </w:r>
          </w:p>
        </w:tc>
        <w:tc>
          <w:tcPr>
            <w:tcW w:w="4950" w:type="dxa"/>
          </w:tcPr>
          <w:p>
            <w:pPr>
              <w:pStyle w:val="0"/>
              <w:ind w:left="567"/>
            </w:pPr>
            <w:r>
              <w:rPr>
                <w:sz w:val="20"/>
              </w:rPr>
              <w:t xml:space="preserve">расходы на приобретение (использование) вспомогательных материалов, запасных частей</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1.1.6.4</w:t>
            </w:r>
          </w:p>
        </w:tc>
        <w:tc>
          <w:tcPr>
            <w:tcW w:w="4950" w:type="dxa"/>
          </w:tcPr>
          <w:p>
            <w:pPr>
              <w:pStyle w:val="0"/>
              <w:ind w:left="567"/>
            </w:pPr>
            <w:r>
              <w:rPr>
                <w:sz w:val="20"/>
              </w:rPr>
              <w:t xml:space="preserve">расходы на эксплуатацию, техническое обслуживание и ремонт автотранспорта</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1.1.6.5</w:t>
            </w:r>
          </w:p>
        </w:tc>
        <w:tc>
          <w:tcPr>
            <w:tcW w:w="4950" w:type="dxa"/>
          </w:tcPr>
          <w:p>
            <w:pPr>
              <w:pStyle w:val="0"/>
              <w:ind w:left="567"/>
            </w:pPr>
            <w:r>
              <w:rPr>
                <w:sz w:val="20"/>
              </w:rPr>
              <w:t xml:space="preserve">расходы на осуществление производственного контроля качества воды и производственного контроля состава и свойств сточных вод расходы на осуществление производственного контроля качества воды и производственного контроля состава и свойств сточных вод</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1.1.6.6</w:t>
            </w:r>
          </w:p>
        </w:tc>
        <w:tc>
          <w:tcPr>
            <w:tcW w:w="4950" w:type="dxa"/>
          </w:tcPr>
          <w:p>
            <w:pPr>
              <w:pStyle w:val="0"/>
              <w:ind w:left="567"/>
            </w:pPr>
            <w:r>
              <w:rPr>
                <w:sz w:val="20"/>
              </w:rPr>
              <w:t xml:space="preserve">расходы на аварийно-диспетчерское обслуживание</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1.2</w:t>
            </w:r>
          </w:p>
        </w:tc>
        <w:tc>
          <w:tcPr>
            <w:tcW w:w="4950" w:type="dxa"/>
          </w:tcPr>
          <w:p>
            <w:pPr>
              <w:pStyle w:val="0"/>
            </w:pPr>
            <w:r>
              <w:rPr>
                <w:sz w:val="20"/>
              </w:rPr>
              <w:t xml:space="preserve">Ремонтные расходы</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1.3</w:t>
            </w:r>
          </w:p>
        </w:tc>
        <w:tc>
          <w:tcPr>
            <w:tcW w:w="4950" w:type="dxa"/>
          </w:tcPr>
          <w:p>
            <w:pPr>
              <w:pStyle w:val="0"/>
            </w:pPr>
            <w:r>
              <w:rPr>
                <w:sz w:val="20"/>
              </w:rPr>
              <w:t xml:space="preserve">Административные расходы</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1.4</w:t>
            </w:r>
          </w:p>
        </w:tc>
        <w:tc>
          <w:tcPr>
            <w:tcW w:w="4950" w:type="dxa"/>
          </w:tcPr>
          <w:p>
            <w:pPr>
              <w:pStyle w:val="0"/>
            </w:pPr>
            <w:r>
              <w:rPr>
                <w:sz w:val="20"/>
              </w:rPr>
              <w:t xml:space="preserve">Сбытовые расходы гарантирующей организации</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r>
        <w:tc>
          <w:tcPr>
            <w:tcW w:w="1320" w:type="dxa"/>
          </w:tcPr>
          <w:p>
            <w:pPr>
              <w:pStyle w:val="0"/>
              <w:jc w:val="center"/>
            </w:pPr>
            <w:r>
              <w:rPr>
                <w:sz w:val="20"/>
              </w:rPr>
              <w:t xml:space="preserve">1.4.1</w:t>
            </w:r>
          </w:p>
        </w:tc>
        <w:tc>
          <w:tcPr>
            <w:tcW w:w="4950" w:type="dxa"/>
          </w:tcPr>
          <w:p>
            <w:pPr>
              <w:pStyle w:val="0"/>
            </w:pPr>
            <w:r>
              <w:rPr>
                <w:sz w:val="20"/>
              </w:rPr>
              <w:t xml:space="preserve">резерв по сомнительным долгам гарантирующей организации</w:t>
            </w:r>
          </w:p>
        </w:tc>
        <w:tc>
          <w:tcPr>
            <w:tcW w:w="990" w:type="dxa"/>
          </w:tcPr>
          <w:p>
            <w:pPr>
              <w:pStyle w:val="0"/>
              <w:jc w:val="center"/>
            </w:pPr>
            <w:r>
              <w:rPr>
                <w:sz w:val="20"/>
              </w:rPr>
              <w:t xml:space="preserve">тыс. руб.</w:t>
            </w:r>
          </w:p>
        </w:tc>
        <w:tc>
          <w:tcPr>
            <w:tcW w:w="990"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6.2</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p>
      <w:pPr>
        <w:pStyle w:val="0"/>
        <w:jc w:val="center"/>
      </w:pPr>
      <w:r>
        <w:rPr>
          <w:sz w:val="20"/>
        </w:rPr>
        <w:t xml:space="preserve">Расходы на электрическую энергию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20"/>
        <w:gridCol w:w="2805"/>
        <w:gridCol w:w="1155"/>
        <w:gridCol w:w="825"/>
        <w:gridCol w:w="825"/>
        <w:gridCol w:w="990"/>
        <w:gridCol w:w="825"/>
        <w:gridCol w:w="660"/>
        <w:gridCol w:w="660"/>
        <w:gridCol w:w="660"/>
        <w:gridCol w:w="825"/>
        <w:gridCol w:w="660"/>
      </w:tblGrid>
      <w:tr>
        <w:tc>
          <w:tcPr>
            <w:tcW w:w="1320" w:type="dxa"/>
            <w:vMerge w:val="restart"/>
          </w:tcPr>
          <w:p>
            <w:pPr>
              <w:pStyle w:val="0"/>
              <w:jc w:val="center"/>
            </w:pPr>
            <w:r>
              <w:rPr>
                <w:sz w:val="20"/>
              </w:rPr>
              <w:t xml:space="preserve">N п/п</w:t>
            </w:r>
          </w:p>
        </w:tc>
        <w:tc>
          <w:tcPr>
            <w:tcW w:w="2805" w:type="dxa"/>
            <w:vMerge w:val="restart"/>
          </w:tcPr>
          <w:p>
            <w:pPr>
              <w:pStyle w:val="0"/>
              <w:jc w:val="center"/>
            </w:pPr>
            <w:r>
              <w:rPr>
                <w:sz w:val="20"/>
              </w:rPr>
              <w:t xml:space="preserve">Наименование</w:t>
            </w:r>
          </w:p>
        </w:tc>
        <w:tc>
          <w:tcPr>
            <w:tcW w:w="1155" w:type="dxa"/>
            <w:vMerge w:val="restart"/>
          </w:tcPr>
          <w:p>
            <w:pPr>
              <w:pStyle w:val="0"/>
              <w:jc w:val="center"/>
            </w:pPr>
            <w:r>
              <w:rPr>
                <w:sz w:val="20"/>
              </w:rPr>
              <w:t xml:space="preserve">Единица измерений</w:t>
            </w:r>
          </w:p>
        </w:tc>
        <w:tc>
          <w:tcPr>
            <w:gridSpan w:val="2"/>
            <w:tcW w:w="1650" w:type="dxa"/>
          </w:tcPr>
          <w:p>
            <w:pPr>
              <w:pStyle w:val="0"/>
              <w:jc w:val="center"/>
            </w:pPr>
            <w:r>
              <w:rPr>
                <w:sz w:val="20"/>
              </w:rPr>
              <w:t xml:space="preserve">Истекший год (i-2)</w:t>
            </w:r>
          </w:p>
        </w:tc>
        <w:tc>
          <w:tcPr>
            <w:gridSpan w:val="2"/>
            <w:tcW w:w="1815" w:type="dxa"/>
          </w:tcPr>
          <w:p>
            <w:pPr>
              <w:pStyle w:val="0"/>
              <w:jc w:val="center"/>
            </w:pPr>
            <w:r>
              <w:rPr>
                <w:sz w:val="20"/>
              </w:rPr>
              <w:t xml:space="preserve">Текущий год (i-1)</w:t>
            </w:r>
          </w:p>
        </w:tc>
        <w:tc>
          <w:tcPr>
            <w:tcW w:w="660" w:type="dxa"/>
            <w:vMerge w:val="restart"/>
          </w:tcPr>
          <w:p>
            <w:pPr>
              <w:pStyle w:val="0"/>
              <w:jc w:val="center"/>
            </w:pPr>
            <w:r>
              <w:rPr>
                <w:sz w:val="20"/>
              </w:rPr>
              <w:t xml:space="preserve">1-й год</w:t>
            </w:r>
          </w:p>
        </w:tc>
        <w:tc>
          <w:tcPr>
            <w:tcW w:w="660" w:type="dxa"/>
            <w:vMerge w:val="restart"/>
          </w:tcPr>
          <w:p>
            <w:pPr>
              <w:pStyle w:val="0"/>
              <w:jc w:val="center"/>
            </w:pPr>
            <w:r>
              <w:rPr>
                <w:sz w:val="20"/>
              </w:rPr>
              <w:t xml:space="preserve">2-й год</w:t>
            </w:r>
          </w:p>
        </w:tc>
        <w:tc>
          <w:tcPr>
            <w:tcW w:w="660" w:type="dxa"/>
            <w:vMerge w:val="restart"/>
          </w:tcPr>
          <w:p>
            <w:pPr>
              <w:pStyle w:val="0"/>
              <w:jc w:val="center"/>
            </w:pPr>
            <w:r>
              <w:rPr>
                <w:sz w:val="20"/>
              </w:rPr>
              <w:t xml:space="preserve">3-й год</w:t>
            </w:r>
          </w:p>
        </w:tc>
        <w:tc>
          <w:tcPr>
            <w:tcW w:w="825" w:type="dxa"/>
            <w:vMerge w:val="restart"/>
          </w:tcPr>
          <w:p>
            <w:pPr>
              <w:pStyle w:val="0"/>
              <w:jc w:val="center"/>
            </w:pPr>
            <w:r>
              <w:rPr>
                <w:sz w:val="20"/>
              </w:rPr>
              <w:t xml:space="preserve">4-й год</w:t>
            </w:r>
          </w:p>
        </w:tc>
        <w:tc>
          <w:tcPr>
            <w:tcW w:w="660" w:type="dxa"/>
            <w:vMerge w:val="restart"/>
          </w:tcPr>
          <w:p>
            <w:pPr>
              <w:pStyle w:val="0"/>
              <w:jc w:val="center"/>
            </w:pPr>
            <w:r>
              <w:rPr>
                <w:sz w:val="20"/>
              </w:rPr>
              <w:t xml:space="preserve">5-й год</w:t>
            </w:r>
          </w:p>
        </w:tc>
      </w:tr>
      <w:tr>
        <w:tc>
          <w:tcPr>
            <w:vMerge w:val="continue"/>
          </w:tcPr>
          <w:p/>
        </w:tc>
        <w:tc>
          <w:tcPr>
            <w:vMerge w:val="continue"/>
          </w:tcPr>
          <w:p/>
        </w:tc>
        <w:tc>
          <w:tcPr>
            <w:vMerge w:val="continue"/>
          </w:tcPr>
          <w:p/>
        </w:tc>
        <w:tc>
          <w:tcPr>
            <w:tcW w:w="825" w:type="dxa"/>
          </w:tcPr>
          <w:p>
            <w:pPr>
              <w:pStyle w:val="0"/>
              <w:jc w:val="center"/>
            </w:pPr>
            <w:r>
              <w:rPr>
                <w:sz w:val="20"/>
              </w:rPr>
              <w:t xml:space="preserve">план</w:t>
            </w:r>
          </w:p>
        </w:tc>
        <w:tc>
          <w:tcPr>
            <w:tcW w:w="825" w:type="dxa"/>
          </w:tcPr>
          <w:p>
            <w:pPr>
              <w:pStyle w:val="0"/>
              <w:jc w:val="center"/>
            </w:pPr>
            <w:r>
              <w:rPr>
                <w:sz w:val="20"/>
              </w:rPr>
              <w:t xml:space="preserve">факт</w:t>
            </w:r>
          </w:p>
        </w:tc>
        <w:tc>
          <w:tcPr>
            <w:tcW w:w="990" w:type="dxa"/>
          </w:tcPr>
          <w:p>
            <w:pPr>
              <w:pStyle w:val="0"/>
              <w:jc w:val="center"/>
            </w:pPr>
            <w:r>
              <w:rPr>
                <w:sz w:val="20"/>
              </w:rPr>
              <w:t xml:space="preserve">план</w:t>
            </w:r>
          </w:p>
        </w:tc>
        <w:tc>
          <w:tcPr>
            <w:tcW w:w="825" w:type="dxa"/>
          </w:tcPr>
          <w:p>
            <w:pPr>
              <w:pStyle w:val="0"/>
              <w:jc w:val="center"/>
            </w:pPr>
            <w:r>
              <w:rPr>
                <w:sz w:val="20"/>
              </w:rPr>
              <w:t xml:space="preserve">ожид</w:t>
            </w:r>
          </w:p>
        </w:tc>
        <w:tc>
          <w:tcPr>
            <w:vMerge w:val="continue"/>
          </w:tcPr>
          <w:p/>
        </w:tc>
        <w:tc>
          <w:tcPr>
            <w:vMerge w:val="continue"/>
          </w:tcPr>
          <w:p/>
        </w:tc>
        <w:tc>
          <w:tcPr>
            <w:vMerge w:val="continue"/>
          </w:tcPr>
          <w:p/>
        </w:tc>
        <w:tc>
          <w:tcPr>
            <w:vMerge w:val="continue"/>
          </w:tcPr>
          <w:p/>
        </w:tc>
        <w:tc>
          <w:tcPr>
            <w:vMerge w:val="continue"/>
          </w:tcPr>
          <w:p/>
        </w:tc>
      </w:tr>
      <w:tr>
        <w:tc>
          <w:tcPr>
            <w:tcW w:w="1320" w:type="dxa"/>
          </w:tcPr>
          <w:p>
            <w:pPr>
              <w:pStyle w:val="0"/>
              <w:jc w:val="center"/>
            </w:pPr>
            <w:r>
              <w:rPr>
                <w:sz w:val="20"/>
              </w:rPr>
              <w:t xml:space="preserve">1</w:t>
            </w:r>
          </w:p>
        </w:tc>
        <w:tc>
          <w:tcPr>
            <w:tcW w:w="2805" w:type="dxa"/>
          </w:tcPr>
          <w:p>
            <w:pPr>
              <w:pStyle w:val="0"/>
              <w:jc w:val="center"/>
            </w:pPr>
            <w:r>
              <w:rPr>
                <w:sz w:val="20"/>
              </w:rPr>
              <w:t xml:space="preserve">2</w:t>
            </w:r>
          </w:p>
        </w:tc>
        <w:tc>
          <w:tcPr>
            <w:tcW w:w="1155" w:type="dxa"/>
          </w:tcPr>
          <w:p>
            <w:pPr>
              <w:pStyle w:val="0"/>
              <w:jc w:val="center"/>
            </w:pPr>
            <w:r>
              <w:rPr>
                <w:sz w:val="20"/>
              </w:rPr>
              <w:t xml:space="preserve">3</w:t>
            </w:r>
          </w:p>
        </w:tc>
        <w:tc>
          <w:tcPr>
            <w:tcW w:w="825" w:type="dxa"/>
          </w:tcPr>
          <w:p>
            <w:pPr>
              <w:pStyle w:val="0"/>
              <w:jc w:val="center"/>
            </w:pPr>
            <w:r>
              <w:rPr>
                <w:sz w:val="20"/>
              </w:rPr>
              <w:t xml:space="preserve">4</w:t>
            </w:r>
          </w:p>
        </w:tc>
        <w:tc>
          <w:tcPr>
            <w:tcW w:w="825" w:type="dxa"/>
          </w:tcPr>
          <w:p>
            <w:pPr>
              <w:pStyle w:val="0"/>
              <w:jc w:val="center"/>
            </w:pPr>
            <w:r>
              <w:rPr>
                <w:sz w:val="20"/>
              </w:rPr>
              <w:t xml:space="preserve">5</w:t>
            </w:r>
          </w:p>
        </w:tc>
        <w:tc>
          <w:tcPr>
            <w:tcW w:w="990" w:type="dxa"/>
          </w:tcPr>
          <w:p>
            <w:pPr>
              <w:pStyle w:val="0"/>
              <w:jc w:val="center"/>
            </w:pPr>
            <w:r>
              <w:rPr>
                <w:sz w:val="20"/>
              </w:rPr>
              <w:t xml:space="preserve">6</w:t>
            </w:r>
          </w:p>
        </w:tc>
        <w:tc>
          <w:tcPr>
            <w:tcW w:w="825" w:type="dxa"/>
          </w:tcPr>
          <w:p>
            <w:pPr>
              <w:pStyle w:val="0"/>
              <w:jc w:val="center"/>
            </w:pPr>
            <w:r>
              <w:rPr>
                <w:sz w:val="20"/>
              </w:rPr>
              <w:t xml:space="preserve">7</w:t>
            </w:r>
          </w:p>
        </w:tc>
        <w:tc>
          <w:tcPr>
            <w:tcW w:w="660" w:type="dxa"/>
          </w:tcPr>
          <w:p>
            <w:pPr>
              <w:pStyle w:val="0"/>
              <w:jc w:val="center"/>
            </w:pPr>
            <w:r>
              <w:rPr>
                <w:sz w:val="20"/>
              </w:rPr>
              <w:t xml:space="preserve">8</w:t>
            </w:r>
          </w:p>
        </w:tc>
        <w:tc>
          <w:tcPr>
            <w:tcW w:w="660" w:type="dxa"/>
          </w:tcPr>
          <w:p>
            <w:pPr>
              <w:pStyle w:val="0"/>
              <w:jc w:val="center"/>
            </w:pPr>
            <w:r>
              <w:rPr>
                <w:sz w:val="20"/>
              </w:rPr>
              <w:t xml:space="preserve">9</w:t>
            </w:r>
          </w:p>
        </w:tc>
        <w:tc>
          <w:tcPr>
            <w:tcW w:w="660" w:type="dxa"/>
          </w:tcPr>
          <w:p>
            <w:pPr>
              <w:pStyle w:val="0"/>
              <w:jc w:val="center"/>
            </w:pPr>
            <w:r>
              <w:rPr>
                <w:sz w:val="20"/>
              </w:rPr>
              <w:t xml:space="preserve">10</w:t>
            </w:r>
          </w:p>
        </w:tc>
        <w:tc>
          <w:tcPr>
            <w:tcW w:w="825" w:type="dxa"/>
          </w:tcPr>
          <w:p>
            <w:pPr>
              <w:pStyle w:val="0"/>
              <w:jc w:val="center"/>
            </w:pPr>
            <w:r>
              <w:rPr>
                <w:sz w:val="20"/>
              </w:rPr>
              <w:t xml:space="preserve">11</w:t>
            </w:r>
          </w:p>
        </w:tc>
        <w:tc>
          <w:tcPr>
            <w:tcW w:w="660" w:type="dxa"/>
          </w:tcPr>
          <w:p>
            <w:pPr>
              <w:pStyle w:val="0"/>
              <w:jc w:val="center"/>
            </w:pPr>
            <w:r>
              <w:rPr>
                <w:sz w:val="20"/>
              </w:rPr>
              <w:t xml:space="preserve">12</w:t>
            </w:r>
          </w:p>
        </w:tc>
      </w:tr>
      <w:tr>
        <w:tc>
          <w:tcPr>
            <w:tcW w:w="1320" w:type="dxa"/>
          </w:tcPr>
          <w:p>
            <w:pPr>
              <w:pStyle w:val="0"/>
              <w:jc w:val="center"/>
            </w:pPr>
            <w:r>
              <w:rPr>
                <w:sz w:val="20"/>
              </w:rPr>
              <w:t xml:space="preserve">1</w:t>
            </w:r>
          </w:p>
        </w:tc>
        <w:tc>
          <w:tcPr>
            <w:tcW w:w="2805" w:type="dxa"/>
          </w:tcPr>
          <w:p>
            <w:pPr>
              <w:pStyle w:val="0"/>
            </w:pPr>
            <w:r>
              <w:rPr>
                <w:sz w:val="20"/>
              </w:rPr>
              <w:t xml:space="preserve">Затраты на электроэнергию, всего</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2</w:t>
            </w:r>
          </w:p>
        </w:tc>
        <w:tc>
          <w:tcPr>
            <w:tcW w:w="2805" w:type="dxa"/>
          </w:tcPr>
          <w:p>
            <w:pPr>
              <w:pStyle w:val="0"/>
            </w:pPr>
            <w:r>
              <w:rPr>
                <w:sz w:val="20"/>
              </w:rPr>
              <w:t xml:space="preserve">Удельное потребление электрической энергии</w:t>
            </w:r>
          </w:p>
        </w:tc>
        <w:tc>
          <w:tcPr>
            <w:tcW w:w="1155" w:type="dxa"/>
          </w:tcPr>
          <w:p>
            <w:pPr>
              <w:pStyle w:val="0"/>
              <w:jc w:val="center"/>
            </w:pPr>
            <w:r>
              <w:rPr>
                <w:sz w:val="20"/>
              </w:rPr>
              <w:t xml:space="preserve">кВт-ч/ куб. м</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2.1</w:t>
            </w:r>
          </w:p>
        </w:tc>
        <w:tc>
          <w:tcPr>
            <w:tcW w:w="2805" w:type="dxa"/>
          </w:tcPr>
          <w:p>
            <w:pPr>
              <w:pStyle w:val="0"/>
              <w:ind w:left="283"/>
            </w:pPr>
            <w:r>
              <w:rPr>
                <w:sz w:val="20"/>
              </w:rPr>
              <w:t xml:space="preserve">низкое напряжение</w:t>
            </w:r>
          </w:p>
        </w:tc>
        <w:tc>
          <w:tcPr>
            <w:tcW w:w="1155" w:type="dxa"/>
          </w:tcPr>
          <w:p>
            <w:pPr>
              <w:pStyle w:val="0"/>
              <w:jc w:val="center"/>
            </w:pPr>
            <w:r>
              <w:rPr>
                <w:sz w:val="20"/>
              </w:rPr>
              <w:t xml:space="preserve">кВт-ч/ куб. м</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2.2</w:t>
            </w:r>
          </w:p>
        </w:tc>
        <w:tc>
          <w:tcPr>
            <w:tcW w:w="2805" w:type="dxa"/>
          </w:tcPr>
          <w:p>
            <w:pPr>
              <w:pStyle w:val="0"/>
              <w:ind w:left="283"/>
            </w:pPr>
            <w:r>
              <w:rPr>
                <w:sz w:val="20"/>
              </w:rPr>
              <w:t xml:space="preserve">среднее напряжение 1</w:t>
            </w:r>
          </w:p>
        </w:tc>
        <w:tc>
          <w:tcPr>
            <w:tcW w:w="1155" w:type="dxa"/>
          </w:tcPr>
          <w:p>
            <w:pPr>
              <w:pStyle w:val="0"/>
              <w:jc w:val="center"/>
            </w:pPr>
            <w:r>
              <w:rPr>
                <w:sz w:val="20"/>
              </w:rPr>
              <w:t xml:space="preserve">кВт-ч/ куб. м</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2.3</w:t>
            </w:r>
          </w:p>
        </w:tc>
        <w:tc>
          <w:tcPr>
            <w:tcW w:w="2805" w:type="dxa"/>
          </w:tcPr>
          <w:p>
            <w:pPr>
              <w:pStyle w:val="0"/>
              <w:ind w:left="283"/>
            </w:pPr>
            <w:r>
              <w:rPr>
                <w:sz w:val="20"/>
              </w:rPr>
              <w:t xml:space="preserve">среднее напряжение 2</w:t>
            </w:r>
          </w:p>
        </w:tc>
        <w:tc>
          <w:tcPr>
            <w:tcW w:w="1155" w:type="dxa"/>
          </w:tcPr>
          <w:p>
            <w:pPr>
              <w:pStyle w:val="0"/>
              <w:jc w:val="center"/>
            </w:pPr>
            <w:r>
              <w:rPr>
                <w:sz w:val="20"/>
              </w:rPr>
              <w:t xml:space="preserve">кВт-ч/ куб. м</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2.4</w:t>
            </w:r>
          </w:p>
        </w:tc>
        <w:tc>
          <w:tcPr>
            <w:tcW w:w="2805" w:type="dxa"/>
          </w:tcPr>
          <w:p>
            <w:pPr>
              <w:pStyle w:val="0"/>
              <w:ind w:left="283"/>
            </w:pPr>
            <w:r>
              <w:rPr>
                <w:sz w:val="20"/>
              </w:rPr>
              <w:t xml:space="preserve">высокое напряжение</w:t>
            </w:r>
          </w:p>
        </w:tc>
        <w:tc>
          <w:tcPr>
            <w:tcW w:w="1155" w:type="dxa"/>
          </w:tcPr>
          <w:p>
            <w:pPr>
              <w:pStyle w:val="0"/>
              <w:jc w:val="center"/>
            </w:pPr>
            <w:r>
              <w:rPr>
                <w:sz w:val="20"/>
              </w:rPr>
              <w:t xml:space="preserve">кВт-ч/ куб. м</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A</w:t>
            </w:r>
          </w:p>
        </w:tc>
        <w:tc>
          <w:tcPr>
            <w:tcW w:w="2805" w:type="dxa"/>
          </w:tcPr>
          <w:p>
            <w:pPr>
              <w:pStyle w:val="0"/>
            </w:pPr>
            <w:r>
              <w:rPr>
                <w:sz w:val="20"/>
              </w:rPr>
              <w:t xml:space="preserve">Поставщик</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w:t>
            </w:r>
          </w:p>
        </w:tc>
        <w:tc>
          <w:tcPr>
            <w:tcW w:w="2805" w:type="dxa"/>
          </w:tcPr>
          <w:p>
            <w:pPr>
              <w:pStyle w:val="0"/>
            </w:pPr>
            <w:r>
              <w:rPr>
                <w:sz w:val="20"/>
              </w:rPr>
              <w:t xml:space="preserve">Объем покупной энергии</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3.1</w:t>
            </w:r>
          </w:p>
        </w:tc>
        <w:tc>
          <w:tcPr>
            <w:tcW w:w="2805" w:type="dxa"/>
          </w:tcPr>
          <w:p>
            <w:pPr>
              <w:pStyle w:val="0"/>
            </w:pPr>
            <w:r>
              <w:rPr>
                <w:sz w:val="20"/>
              </w:rPr>
              <w:t xml:space="preserve">Объем покупной энергии по одноставочному тарифу</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3.1.1</w:t>
            </w:r>
          </w:p>
        </w:tc>
        <w:tc>
          <w:tcPr>
            <w:tcW w:w="2805" w:type="dxa"/>
          </w:tcPr>
          <w:p>
            <w:pPr>
              <w:pStyle w:val="0"/>
              <w:ind w:left="283"/>
            </w:pPr>
            <w:r>
              <w:rPr>
                <w:sz w:val="20"/>
              </w:rPr>
              <w:t xml:space="preserve">низкое напряжение</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3.1.2</w:t>
            </w:r>
          </w:p>
        </w:tc>
        <w:tc>
          <w:tcPr>
            <w:tcW w:w="2805" w:type="dxa"/>
          </w:tcPr>
          <w:p>
            <w:pPr>
              <w:pStyle w:val="0"/>
              <w:ind w:left="283"/>
            </w:pPr>
            <w:r>
              <w:rPr>
                <w:sz w:val="20"/>
              </w:rPr>
              <w:t xml:space="preserve">среднее напряжение 1</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3.1.3</w:t>
            </w:r>
          </w:p>
        </w:tc>
        <w:tc>
          <w:tcPr>
            <w:tcW w:w="2805" w:type="dxa"/>
          </w:tcPr>
          <w:p>
            <w:pPr>
              <w:pStyle w:val="0"/>
              <w:ind w:left="283"/>
            </w:pPr>
            <w:r>
              <w:rPr>
                <w:sz w:val="20"/>
              </w:rPr>
              <w:t xml:space="preserve">среднее напряжение 2</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3.1.4</w:t>
            </w:r>
          </w:p>
        </w:tc>
        <w:tc>
          <w:tcPr>
            <w:tcW w:w="2805" w:type="dxa"/>
          </w:tcPr>
          <w:p>
            <w:pPr>
              <w:pStyle w:val="0"/>
              <w:ind w:left="283"/>
            </w:pPr>
            <w:r>
              <w:rPr>
                <w:sz w:val="20"/>
              </w:rPr>
              <w:t xml:space="preserve">высокое напряжение</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3.1.5</w:t>
            </w:r>
          </w:p>
        </w:tc>
        <w:tc>
          <w:tcPr>
            <w:tcW w:w="2805" w:type="dxa"/>
          </w:tcPr>
          <w:p>
            <w:pPr>
              <w:pStyle w:val="0"/>
            </w:pPr>
            <w:r>
              <w:rPr>
                <w:sz w:val="20"/>
              </w:rPr>
              <w:t xml:space="preserve">Без разбивки по напряжению</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3.2</w:t>
            </w:r>
          </w:p>
        </w:tc>
        <w:tc>
          <w:tcPr>
            <w:tcW w:w="2805" w:type="dxa"/>
          </w:tcPr>
          <w:p>
            <w:pPr>
              <w:pStyle w:val="0"/>
            </w:pPr>
            <w:r>
              <w:rPr>
                <w:sz w:val="20"/>
              </w:rPr>
              <w:t xml:space="preserve">Объем покупной электроэнергии по двухставочному тарифу</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3.2.1</w:t>
            </w:r>
          </w:p>
        </w:tc>
        <w:tc>
          <w:tcPr>
            <w:tcW w:w="2805" w:type="dxa"/>
          </w:tcPr>
          <w:p>
            <w:pPr>
              <w:pStyle w:val="0"/>
            </w:pPr>
            <w:r>
              <w:rPr>
                <w:sz w:val="20"/>
              </w:rPr>
              <w:t xml:space="preserve">Мощность</w:t>
            </w:r>
          </w:p>
        </w:tc>
        <w:tc>
          <w:tcPr>
            <w:tcW w:w="1155"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3.2.1.1</w:t>
            </w:r>
          </w:p>
        </w:tc>
        <w:tc>
          <w:tcPr>
            <w:tcW w:w="2805" w:type="dxa"/>
          </w:tcPr>
          <w:p>
            <w:pPr>
              <w:pStyle w:val="0"/>
              <w:ind w:left="283"/>
            </w:pPr>
            <w:r>
              <w:rPr>
                <w:sz w:val="20"/>
              </w:rPr>
              <w:t xml:space="preserve">низкое напряжение</w:t>
            </w:r>
          </w:p>
        </w:tc>
        <w:tc>
          <w:tcPr>
            <w:tcW w:w="1155"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3.2.1.2</w:t>
            </w:r>
          </w:p>
        </w:tc>
        <w:tc>
          <w:tcPr>
            <w:tcW w:w="2805" w:type="dxa"/>
          </w:tcPr>
          <w:p>
            <w:pPr>
              <w:pStyle w:val="0"/>
              <w:ind w:left="283"/>
            </w:pPr>
            <w:r>
              <w:rPr>
                <w:sz w:val="20"/>
              </w:rPr>
              <w:t xml:space="preserve">среднее напряжение 1</w:t>
            </w:r>
          </w:p>
        </w:tc>
        <w:tc>
          <w:tcPr>
            <w:tcW w:w="1155"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3.2.1.3</w:t>
            </w:r>
          </w:p>
        </w:tc>
        <w:tc>
          <w:tcPr>
            <w:tcW w:w="2805" w:type="dxa"/>
          </w:tcPr>
          <w:p>
            <w:pPr>
              <w:pStyle w:val="0"/>
              <w:ind w:left="283"/>
            </w:pPr>
            <w:r>
              <w:rPr>
                <w:sz w:val="20"/>
              </w:rPr>
              <w:t xml:space="preserve">среднее напряжение 2</w:t>
            </w:r>
          </w:p>
        </w:tc>
        <w:tc>
          <w:tcPr>
            <w:tcW w:w="1155"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3.2.1.4</w:t>
            </w:r>
          </w:p>
        </w:tc>
        <w:tc>
          <w:tcPr>
            <w:tcW w:w="2805" w:type="dxa"/>
          </w:tcPr>
          <w:p>
            <w:pPr>
              <w:pStyle w:val="0"/>
              <w:ind w:left="283"/>
            </w:pPr>
            <w:r>
              <w:rPr>
                <w:sz w:val="20"/>
              </w:rPr>
              <w:t xml:space="preserve">высокое напряжение</w:t>
            </w:r>
          </w:p>
        </w:tc>
        <w:tc>
          <w:tcPr>
            <w:tcW w:w="1155"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3.2.1.5</w:t>
            </w:r>
          </w:p>
        </w:tc>
        <w:tc>
          <w:tcPr>
            <w:tcW w:w="2805" w:type="dxa"/>
          </w:tcPr>
          <w:p>
            <w:pPr>
              <w:pStyle w:val="0"/>
              <w:ind w:left="283"/>
            </w:pPr>
            <w:r>
              <w:rPr>
                <w:sz w:val="20"/>
              </w:rPr>
              <w:t xml:space="preserve">генерация напряжения</w:t>
            </w:r>
          </w:p>
        </w:tc>
        <w:tc>
          <w:tcPr>
            <w:tcW w:w="1155" w:type="dxa"/>
          </w:tcPr>
          <w:p>
            <w:pPr>
              <w:pStyle w:val="0"/>
              <w:jc w:val="center"/>
            </w:pPr>
            <w:r>
              <w:rPr>
                <w:sz w:val="20"/>
              </w:rPr>
              <w:t xml:space="preserve">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4</w:t>
            </w:r>
          </w:p>
        </w:tc>
        <w:tc>
          <w:tcPr>
            <w:tcW w:w="2805" w:type="dxa"/>
          </w:tcPr>
          <w:p>
            <w:pPr>
              <w:pStyle w:val="0"/>
            </w:pPr>
            <w:r>
              <w:rPr>
                <w:sz w:val="20"/>
              </w:rPr>
              <w:t xml:space="preserve">Активная электроэнергия</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4.1</w:t>
            </w:r>
          </w:p>
        </w:tc>
        <w:tc>
          <w:tcPr>
            <w:tcW w:w="2805" w:type="dxa"/>
          </w:tcPr>
          <w:p>
            <w:pPr>
              <w:pStyle w:val="0"/>
              <w:ind w:left="283"/>
            </w:pPr>
            <w:r>
              <w:rPr>
                <w:sz w:val="20"/>
              </w:rPr>
              <w:t xml:space="preserve">низкое напряжение</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4.2</w:t>
            </w:r>
          </w:p>
        </w:tc>
        <w:tc>
          <w:tcPr>
            <w:tcW w:w="2805" w:type="dxa"/>
          </w:tcPr>
          <w:p>
            <w:pPr>
              <w:pStyle w:val="0"/>
              <w:ind w:left="283"/>
            </w:pPr>
            <w:r>
              <w:rPr>
                <w:sz w:val="20"/>
              </w:rPr>
              <w:t xml:space="preserve">среднее напряжение 1</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4.3</w:t>
            </w:r>
          </w:p>
        </w:tc>
        <w:tc>
          <w:tcPr>
            <w:tcW w:w="2805" w:type="dxa"/>
          </w:tcPr>
          <w:p>
            <w:pPr>
              <w:pStyle w:val="0"/>
              <w:ind w:left="283"/>
            </w:pPr>
            <w:r>
              <w:rPr>
                <w:sz w:val="20"/>
              </w:rPr>
              <w:t xml:space="preserve">среднее напряжение 2</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4.4</w:t>
            </w:r>
          </w:p>
        </w:tc>
        <w:tc>
          <w:tcPr>
            <w:tcW w:w="2805" w:type="dxa"/>
          </w:tcPr>
          <w:p>
            <w:pPr>
              <w:pStyle w:val="0"/>
              <w:ind w:left="283"/>
            </w:pPr>
            <w:r>
              <w:rPr>
                <w:sz w:val="20"/>
              </w:rPr>
              <w:t xml:space="preserve">высокое напряжение</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4.5</w:t>
            </w:r>
          </w:p>
        </w:tc>
        <w:tc>
          <w:tcPr>
            <w:tcW w:w="2805" w:type="dxa"/>
          </w:tcPr>
          <w:p>
            <w:pPr>
              <w:pStyle w:val="0"/>
              <w:ind w:left="283"/>
            </w:pPr>
            <w:r>
              <w:rPr>
                <w:sz w:val="20"/>
              </w:rPr>
              <w:t xml:space="preserve">генерация напряжения</w:t>
            </w:r>
          </w:p>
        </w:tc>
        <w:tc>
          <w:tcPr>
            <w:tcW w:w="1155" w:type="dxa"/>
          </w:tcPr>
          <w:p>
            <w:pPr>
              <w:pStyle w:val="0"/>
              <w:jc w:val="center"/>
            </w:pPr>
            <w:r>
              <w:rPr>
                <w:sz w:val="20"/>
              </w:rPr>
              <w:t xml:space="preserve">млн.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5</w:t>
            </w:r>
          </w:p>
        </w:tc>
        <w:tc>
          <w:tcPr>
            <w:tcW w:w="2805" w:type="dxa"/>
          </w:tcPr>
          <w:p>
            <w:pPr>
              <w:pStyle w:val="0"/>
            </w:pPr>
            <w:r>
              <w:rPr>
                <w:sz w:val="20"/>
              </w:rPr>
              <w:t xml:space="preserve">Тариф на электроэнергию и мощность</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5.1</w:t>
            </w:r>
          </w:p>
        </w:tc>
        <w:tc>
          <w:tcPr>
            <w:tcW w:w="2805" w:type="dxa"/>
          </w:tcPr>
          <w:p>
            <w:pPr>
              <w:pStyle w:val="0"/>
              <w:ind w:left="283"/>
            </w:pPr>
            <w:r>
              <w:rPr>
                <w:sz w:val="20"/>
              </w:rPr>
              <w:t xml:space="preserve">по одноставочному тарифу</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5.2</w:t>
            </w:r>
          </w:p>
        </w:tc>
        <w:tc>
          <w:tcPr>
            <w:tcW w:w="2805" w:type="dxa"/>
          </w:tcPr>
          <w:p>
            <w:pPr>
              <w:pStyle w:val="0"/>
              <w:ind w:left="283"/>
            </w:pPr>
            <w:r>
              <w:rPr>
                <w:sz w:val="20"/>
              </w:rPr>
              <w:t xml:space="preserve">низкое напряжение</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5.3</w:t>
            </w:r>
          </w:p>
        </w:tc>
        <w:tc>
          <w:tcPr>
            <w:tcW w:w="2805" w:type="dxa"/>
          </w:tcPr>
          <w:p>
            <w:pPr>
              <w:pStyle w:val="0"/>
              <w:ind w:left="283"/>
            </w:pPr>
            <w:r>
              <w:rPr>
                <w:sz w:val="20"/>
              </w:rPr>
              <w:t xml:space="preserve">среднее напряжение 1</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5.4</w:t>
            </w:r>
          </w:p>
        </w:tc>
        <w:tc>
          <w:tcPr>
            <w:tcW w:w="2805" w:type="dxa"/>
          </w:tcPr>
          <w:p>
            <w:pPr>
              <w:pStyle w:val="0"/>
              <w:ind w:left="283"/>
            </w:pPr>
            <w:r>
              <w:rPr>
                <w:sz w:val="20"/>
              </w:rPr>
              <w:t xml:space="preserve">среднее напряжение 2</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5.5</w:t>
            </w:r>
          </w:p>
        </w:tc>
        <w:tc>
          <w:tcPr>
            <w:tcW w:w="2805" w:type="dxa"/>
          </w:tcPr>
          <w:p>
            <w:pPr>
              <w:pStyle w:val="0"/>
              <w:ind w:left="283"/>
            </w:pPr>
            <w:r>
              <w:rPr>
                <w:sz w:val="20"/>
              </w:rPr>
              <w:t xml:space="preserve">высокое напряжение</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6</w:t>
            </w:r>
          </w:p>
        </w:tc>
        <w:tc>
          <w:tcPr>
            <w:tcW w:w="2805" w:type="dxa"/>
          </w:tcPr>
          <w:p>
            <w:pPr>
              <w:pStyle w:val="0"/>
            </w:pPr>
            <w:r>
              <w:rPr>
                <w:sz w:val="20"/>
              </w:rPr>
              <w:t xml:space="preserve">Тариф на активную электроэнергию без разбивки по напряжению</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7</w:t>
            </w:r>
          </w:p>
        </w:tc>
        <w:tc>
          <w:tcPr>
            <w:tcW w:w="2805" w:type="dxa"/>
          </w:tcPr>
          <w:p>
            <w:pPr>
              <w:pStyle w:val="0"/>
            </w:pPr>
            <w:r>
              <w:rPr>
                <w:sz w:val="20"/>
              </w:rPr>
              <w:t xml:space="preserve">Средний одноставочный тариф на электрическую энергию</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8</w:t>
            </w:r>
          </w:p>
        </w:tc>
        <w:tc>
          <w:tcPr>
            <w:tcW w:w="2805" w:type="dxa"/>
          </w:tcPr>
          <w:p>
            <w:pPr>
              <w:pStyle w:val="0"/>
            </w:pPr>
            <w:r>
              <w:rPr>
                <w:sz w:val="20"/>
              </w:rPr>
              <w:t xml:space="preserve">По двухставочному тарифу</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9</w:t>
            </w:r>
          </w:p>
        </w:tc>
        <w:tc>
          <w:tcPr>
            <w:tcW w:w="2805" w:type="dxa"/>
          </w:tcPr>
          <w:p>
            <w:pPr>
              <w:pStyle w:val="0"/>
            </w:pPr>
            <w:r>
              <w:rPr>
                <w:sz w:val="20"/>
              </w:rPr>
              <w:t xml:space="preserve">Ставка за мощность</w:t>
            </w:r>
          </w:p>
        </w:tc>
        <w:tc>
          <w:tcPr>
            <w:tcW w:w="1155"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9.1</w:t>
            </w:r>
          </w:p>
        </w:tc>
        <w:tc>
          <w:tcPr>
            <w:tcW w:w="2805" w:type="dxa"/>
          </w:tcPr>
          <w:p>
            <w:pPr>
              <w:pStyle w:val="0"/>
              <w:ind w:left="283"/>
            </w:pPr>
            <w:r>
              <w:rPr>
                <w:sz w:val="20"/>
              </w:rPr>
              <w:t xml:space="preserve">низкое напряжение</w:t>
            </w:r>
          </w:p>
        </w:tc>
        <w:tc>
          <w:tcPr>
            <w:tcW w:w="1155"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9.2</w:t>
            </w:r>
          </w:p>
        </w:tc>
        <w:tc>
          <w:tcPr>
            <w:tcW w:w="2805" w:type="dxa"/>
          </w:tcPr>
          <w:p>
            <w:pPr>
              <w:pStyle w:val="0"/>
              <w:ind w:left="283"/>
            </w:pPr>
            <w:r>
              <w:rPr>
                <w:sz w:val="20"/>
              </w:rPr>
              <w:t xml:space="preserve">среднее напряжение 1</w:t>
            </w:r>
          </w:p>
        </w:tc>
        <w:tc>
          <w:tcPr>
            <w:tcW w:w="1155"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9.3</w:t>
            </w:r>
          </w:p>
        </w:tc>
        <w:tc>
          <w:tcPr>
            <w:tcW w:w="2805" w:type="dxa"/>
          </w:tcPr>
          <w:p>
            <w:pPr>
              <w:pStyle w:val="0"/>
              <w:ind w:left="283"/>
            </w:pPr>
            <w:r>
              <w:rPr>
                <w:sz w:val="20"/>
              </w:rPr>
              <w:t xml:space="preserve">среднее напряжение 2</w:t>
            </w:r>
          </w:p>
        </w:tc>
        <w:tc>
          <w:tcPr>
            <w:tcW w:w="1155"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9.4</w:t>
            </w:r>
          </w:p>
        </w:tc>
        <w:tc>
          <w:tcPr>
            <w:tcW w:w="2805" w:type="dxa"/>
          </w:tcPr>
          <w:p>
            <w:pPr>
              <w:pStyle w:val="0"/>
              <w:ind w:left="283"/>
            </w:pPr>
            <w:r>
              <w:rPr>
                <w:sz w:val="20"/>
              </w:rPr>
              <w:t xml:space="preserve">высокое напряжение</w:t>
            </w:r>
          </w:p>
        </w:tc>
        <w:tc>
          <w:tcPr>
            <w:tcW w:w="1155"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9.5</w:t>
            </w:r>
          </w:p>
        </w:tc>
        <w:tc>
          <w:tcPr>
            <w:tcW w:w="2805" w:type="dxa"/>
          </w:tcPr>
          <w:p>
            <w:pPr>
              <w:pStyle w:val="0"/>
              <w:ind w:left="283"/>
            </w:pPr>
            <w:r>
              <w:rPr>
                <w:sz w:val="20"/>
              </w:rPr>
              <w:t xml:space="preserve">генерация напряжения</w:t>
            </w:r>
          </w:p>
        </w:tc>
        <w:tc>
          <w:tcPr>
            <w:tcW w:w="1155" w:type="dxa"/>
          </w:tcPr>
          <w:p>
            <w:pPr>
              <w:pStyle w:val="0"/>
              <w:jc w:val="center"/>
            </w:pPr>
            <w:r>
              <w:rPr>
                <w:sz w:val="20"/>
              </w:rPr>
              <w:t xml:space="preserve">руб./ МВт в мес.</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10</w:t>
            </w:r>
          </w:p>
        </w:tc>
        <w:tc>
          <w:tcPr>
            <w:tcW w:w="2805" w:type="dxa"/>
          </w:tcPr>
          <w:p>
            <w:pPr>
              <w:pStyle w:val="0"/>
            </w:pPr>
            <w:r>
              <w:rPr>
                <w:sz w:val="20"/>
              </w:rPr>
              <w:t xml:space="preserve">Тариф на электроэнергию по двухставочному тарифу</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10.1</w:t>
            </w:r>
          </w:p>
        </w:tc>
        <w:tc>
          <w:tcPr>
            <w:tcW w:w="2805" w:type="dxa"/>
          </w:tcPr>
          <w:p>
            <w:pPr>
              <w:pStyle w:val="0"/>
              <w:ind w:left="283"/>
            </w:pPr>
            <w:r>
              <w:rPr>
                <w:sz w:val="20"/>
              </w:rPr>
              <w:t xml:space="preserve">низкое напряжение</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10.2</w:t>
            </w:r>
          </w:p>
        </w:tc>
        <w:tc>
          <w:tcPr>
            <w:tcW w:w="2805" w:type="dxa"/>
          </w:tcPr>
          <w:p>
            <w:pPr>
              <w:pStyle w:val="0"/>
              <w:ind w:left="283"/>
            </w:pPr>
            <w:r>
              <w:rPr>
                <w:sz w:val="20"/>
              </w:rPr>
              <w:t xml:space="preserve">среднее напряжение 1</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10.3</w:t>
            </w:r>
          </w:p>
        </w:tc>
        <w:tc>
          <w:tcPr>
            <w:tcW w:w="2805" w:type="dxa"/>
          </w:tcPr>
          <w:p>
            <w:pPr>
              <w:pStyle w:val="0"/>
              <w:ind w:left="283"/>
            </w:pPr>
            <w:r>
              <w:rPr>
                <w:sz w:val="20"/>
              </w:rPr>
              <w:t xml:space="preserve">среднее напряжение 2</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10.4</w:t>
            </w:r>
          </w:p>
        </w:tc>
        <w:tc>
          <w:tcPr>
            <w:tcW w:w="2805" w:type="dxa"/>
          </w:tcPr>
          <w:p>
            <w:pPr>
              <w:pStyle w:val="0"/>
              <w:ind w:left="283"/>
            </w:pPr>
            <w:r>
              <w:rPr>
                <w:sz w:val="20"/>
              </w:rPr>
              <w:t xml:space="preserve">высокое напряжение</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10.5</w:t>
            </w:r>
          </w:p>
        </w:tc>
        <w:tc>
          <w:tcPr>
            <w:tcW w:w="2805" w:type="dxa"/>
          </w:tcPr>
          <w:p>
            <w:pPr>
              <w:pStyle w:val="0"/>
              <w:ind w:left="283"/>
            </w:pPr>
            <w:r>
              <w:rPr>
                <w:sz w:val="20"/>
              </w:rPr>
              <w:t xml:space="preserve">генерация напряжения</w:t>
            </w:r>
          </w:p>
        </w:tc>
        <w:tc>
          <w:tcPr>
            <w:tcW w:w="1155" w:type="dxa"/>
          </w:tcPr>
          <w:p>
            <w:pPr>
              <w:pStyle w:val="0"/>
              <w:jc w:val="center"/>
            </w:pPr>
            <w:r>
              <w:rPr>
                <w:sz w:val="20"/>
              </w:rPr>
              <w:t xml:space="preserve">руб./ кВт-ч</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11</w:t>
            </w:r>
          </w:p>
        </w:tc>
        <w:tc>
          <w:tcPr>
            <w:tcW w:w="2805" w:type="dxa"/>
          </w:tcPr>
          <w:p>
            <w:pPr>
              <w:pStyle w:val="0"/>
            </w:pPr>
            <w:r>
              <w:rPr>
                <w:sz w:val="20"/>
              </w:rPr>
              <w:t xml:space="preserve">Затраты на покупку энергии</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12</w:t>
            </w:r>
          </w:p>
        </w:tc>
        <w:tc>
          <w:tcPr>
            <w:tcW w:w="2805" w:type="dxa"/>
          </w:tcPr>
          <w:p>
            <w:pPr>
              <w:pStyle w:val="0"/>
            </w:pPr>
            <w:r>
              <w:rPr>
                <w:sz w:val="20"/>
              </w:rPr>
              <w:t xml:space="preserve">Затраты на покупку мощности</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13</w:t>
            </w:r>
          </w:p>
        </w:tc>
        <w:tc>
          <w:tcPr>
            <w:tcW w:w="2805" w:type="dxa"/>
          </w:tcPr>
          <w:p>
            <w:pPr>
              <w:pStyle w:val="0"/>
            </w:pPr>
            <w:r>
              <w:rPr>
                <w:sz w:val="20"/>
              </w:rPr>
              <w:t xml:space="preserve">Затраты на электроэнергию, всего</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B</w:t>
            </w:r>
          </w:p>
        </w:tc>
        <w:tc>
          <w:tcPr>
            <w:tcW w:w="2805" w:type="dxa"/>
          </w:tcPr>
          <w:p>
            <w:pPr>
              <w:pStyle w:val="0"/>
            </w:pPr>
            <w:r>
              <w:rPr>
                <w:sz w:val="20"/>
              </w:rPr>
              <w:t xml:space="preserve">Поставщик</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1320" w:type="dxa"/>
          </w:tcPr>
          <w:p>
            <w:pPr>
              <w:pStyle w:val="0"/>
              <w:jc w:val="center"/>
            </w:pPr>
            <w:r>
              <w:rPr>
                <w:sz w:val="20"/>
              </w:rPr>
              <w:t xml:space="preserve">N</w:t>
            </w:r>
          </w:p>
        </w:tc>
        <w:tc>
          <w:tcPr>
            <w:tcW w:w="2805" w:type="dxa"/>
          </w:tcPr>
          <w:p>
            <w:pPr>
              <w:pStyle w:val="0"/>
            </w:pPr>
            <w:r>
              <w:rPr>
                <w:sz w:val="20"/>
              </w:rPr>
              <w:t xml:space="preserve">Поставщик</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6.3</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ФАС России от 30.06.2017 </w:t>
            </w:r>
            <w:hyperlink w:history="0" r:id="rId503"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N 868/17</w:t>
              </w:r>
            </w:hyperlink>
            <w:r>
              <w:rPr>
                <w:sz w:val="20"/>
                <w:color w:val="392c69"/>
              </w:rPr>
              <w:t xml:space="preserve">,</w:t>
            </w:r>
          </w:p>
          <w:p>
            <w:pPr>
              <w:pStyle w:val="0"/>
              <w:jc w:val="center"/>
            </w:pPr>
            <w:r>
              <w:rPr>
                <w:sz w:val="20"/>
                <w:color w:val="392c69"/>
              </w:rPr>
              <w:t xml:space="preserve">от 08.10.2020 </w:t>
            </w:r>
            <w:hyperlink w:history="0" r:id="rId504"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N 976/20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Неподконтрольные расходы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3300"/>
        <w:gridCol w:w="1155"/>
        <w:gridCol w:w="825"/>
        <w:gridCol w:w="825"/>
        <w:gridCol w:w="990"/>
        <w:gridCol w:w="825"/>
        <w:gridCol w:w="660"/>
        <w:gridCol w:w="660"/>
        <w:gridCol w:w="660"/>
        <w:gridCol w:w="825"/>
        <w:gridCol w:w="660"/>
      </w:tblGrid>
      <w:tr>
        <w:tc>
          <w:tcPr>
            <w:tcW w:w="825" w:type="dxa"/>
            <w:vMerge w:val="restart"/>
          </w:tcPr>
          <w:p>
            <w:pPr>
              <w:pStyle w:val="0"/>
              <w:jc w:val="center"/>
            </w:pPr>
            <w:r>
              <w:rPr>
                <w:sz w:val="20"/>
              </w:rPr>
              <w:t xml:space="preserve">N п/п</w:t>
            </w:r>
          </w:p>
        </w:tc>
        <w:tc>
          <w:tcPr>
            <w:tcW w:w="3300" w:type="dxa"/>
            <w:vMerge w:val="restart"/>
          </w:tcPr>
          <w:p>
            <w:pPr>
              <w:pStyle w:val="0"/>
              <w:jc w:val="center"/>
            </w:pPr>
            <w:r>
              <w:rPr>
                <w:sz w:val="20"/>
              </w:rPr>
              <w:t xml:space="preserve">Наименование</w:t>
            </w:r>
          </w:p>
        </w:tc>
        <w:tc>
          <w:tcPr>
            <w:tcW w:w="1155" w:type="dxa"/>
            <w:vMerge w:val="restart"/>
          </w:tcPr>
          <w:p>
            <w:pPr>
              <w:pStyle w:val="0"/>
              <w:jc w:val="center"/>
            </w:pPr>
            <w:r>
              <w:rPr>
                <w:sz w:val="20"/>
              </w:rPr>
              <w:t xml:space="preserve">Единица измерений</w:t>
            </w:r>
          </w:p>
        </w:tc>
        <w:tc>
          <w:tcPr>
            <w:gridSpan w:val="2"/>
            <w:tcW w:w="1650" w:type="dxa"/>
          </w:tcPr>
          <w:p>
            <w:pPr>
              <w:pStyle w:val="0"/>
              <w:jc w:val="center"/>
            </w:pPr>
            <w:r>
              <w:rPr>
                <w:sz w:val="20"/>
              </w:rPr>
              <w:t xml:space="preserve">Истекший год (i-2)</w:t>
            </w:r>
          </w:p>
        </w:tc>
        <w:tc>
          <w:tcPr>
            <w:gridSpan w:val="2"/>
            <w:tcW w:w="1815" w:type="dxa"/>
          </w:tcPr>
          <w:p>
            <w:pPr>
              <w:pStyle w:val="0"/>
              <w:jc w:val="center"/>
            </w:pPr>
            <w:r>
              <w:rPr>
                <w:sz w:val="20"/>
              </w:rPr>
              <w:t xml:space="preserve">Текущий год (i-1)</w:t>
            </w:r>
          </w:p>
        </w:tc>
        <w:tc>
          <w:tcPr>
            <w:tcW w:w="660" w:type="dxa"/>
            <w:vMerge w:val="restart"/>
          </w:tcPr>
          <w:p>
            <w:pPr>
              <w:pStyle w:val="0"/>
              <w:jc w:val="center"/>
            </w:pPr>
            <w:r>
              <w:rPr>
                <w:sz w:val="20"/>
              </w:rPr>
              <w:t xml:space="preserve">1-й год</w:t>
            </w:r>
          </w:p>
        </w:tc>
        <w:tc>
          <w:tcPr>
            <w:tcW w:w="660" w:type="dxa"/>
            <w:vMerge w:val="restart"/>
          </w:tcPr>
          <w:p>
            <w:pPr>
              <w:pStyle w:val="0"/>
              <w:jc w:val="center"/>
            </w:pPr>
            <w:r>
              <w:rPr>
                <w:sz w:val="20"/>
              </w:rPr>
              <w:t xml:space="preserve">2-й год</w:t>
            </w:r>
          </w:p>
        </w:tc>
        <w:tc>
          <w:tcPr>
            <w:tcW w:w="660" w:type="dxa"/>
            <w:vMerge w:val="restart"/>
          </w:tcPr>
          <w:p>
            <w:pPr>
              <w:pStyle w:val="0"/>
              <w:jc w:val="center"/>
            </w:pPr>
            <w:r>
              <w:rPr>
                <w:sz w:val="20"/>
              </w:rPr>
              <w:t xml:space="preserve">3-й год</w:t>
            </w:r>
          </w:p>
        </w:tc>
        <w:tc>
          <w:tcPr>
            <w:tcW w:w="825" w:type="dxa"/>
            <w:vMerge w:val="restart"/>
          </w:tcPr>
          <w:p>
            <w:pPr>
              <w:pStyle w:val="0"/>
              <w:jc w:val="center"/>
            </w:pPr>
            <w:r>
              <w:rPr>
                <w:sz w:val="20"/>
              </w:rPr>
              <w:t xml:space="preserve">4-й год</w:t>
            </w:r>
          </w:p>
        </w:tc>
        <w:tc>
          <w:tcPr>
            <w:tcW w:w="660" w:type="dxa"/>
            <w:vMerge w:val="restart"/>
          </w:tcPr>
          <w:p>
            <w:pPr>
              <w:pStyle w:val="0"/>
              <w:jc w:val="center"/>
            </w:pPr>
            <w:r>
              <w:rPr>
                <w:sz w:val="20"/>
              </w:rPr>
              <w:t xml:space="preserve">5-й год</w:t>
            </w:r>
          </w:p>
        </w:tc>
      </w:tr>
      <w:tr>
        <w:tc>
          <w:tcPr>
            <w:vMerge w:val="continue"/>
          </w:tcPr>
          <w:p/>
        </w:tc>
        <w:tc>
          <w:tcPr>
            <w:vMerge w:val="continue"/>
          </w:tcPr>
          <w:p/>
        </w:tc>
        <w:tc>
          <w:tcPr>
            <w:vMerge w:val="continue"/>
          </w:tcPr>
          <w:p/>
        </w:tc>
        <w:tc>
          <w:tcPr>
            <w:tcW w:w="825" w:type="dxa"/>
          </w:tcPr>
          <w:p>
            <w:pPr>
              <w:pStyle w:val="0"/>
              <w:jc w:val="center"/>
            </w:pPr>
            <w:r>
              <w:rPr>
                <w:sz w:val="20"/>
              </w:rPr>
              <w:t xml:space="preserve">план</w:t>
            </w:r>
          </w:p>
        </w:tc>
        <w:tc>
          <w:tcPr>
            <w:tcW w:w="825" w:type="dxa"/>
          </w:tcPr>
          <w:p>
            <w:pPr>
              <w:pStyle w:val="0"/>
              <w:jc w:val="center"/>
            </w:pPr>
            <w:r>
              <w:rPr>
                <w:sz w:val="20"/>
              </w:rPr>
              <w:t xml:space="preserve">факт</w:t>
            </w:r>
          </w:p>
        </w:tc>
        <w:tc>
          <w:tcPr>
            <w:tcW w:w="990" w:type="dxa"/>
          </w:tcPr>
          <w:p>
            <w:pPr>
              <w:pStyle w:val="0"/>
              <w:jc w:val="center"/>
            </w:pPr>
            <w:r>
              <w:rPr>
                <w:sz w:val="20"/>
              </w:rPr>
              <w:t xml:space="preserve">план</w:t>
            </w:r>
          </w:p>
        </w:tc>
        <w:tc>
          <w:tcPr>
            <w:tcW w:w="825" w:type="dxa"/>
          </w:tcPr>
          <w:p>
            <w:pPr>
              <w:pStyle w:val="0"/>
              <w:jc w:val="center"/>
            </w:pPr>
            <w:r>
              <w:rPr>
                <w:sz w:val="20"/>
              </w:rPr>
              <w:t xml:space="preserve">ожид</w:t>
            </w:r>
          </w:p>
        </w:tc>
        <w:tc>
          <w:tcPr>
            <w:vMerge w:val="continue"/>
          </w:tcPr>
          <w:p/>
        </w:tc>
        <w:tc>
          <w:tcPr>
            <w:vMerge w:val="continue"/>
          </w:tcPr>
          <w:p/>
        </w:tc>
        <w:tc>
          <w:tcPr>
            <w:vMerge w:val="continue"/>
          </w:tcPr>
          <w:p/>
        </w:tc>
        <w:tc>
          <w:tcPr>
            <w:vMerge w:val="continue"/>
          </w:tcPr>
          <w:p/>
        </w:tc>
        <w:tc>
          <w:tcPr>
            <w:vMerge w:val="continue"/>
          </w:tcPr>
          <w:p/>
        </w:tc>
      </w:tr>
      <w:tr>
        <w:tc>
          <w:tcPr>
            <w:tcW w:w="825" w:type="dxa"/>
          </w:tcPr>
          <w:p>
            <w:pPr>
              <w:pStyle w:val="0"/>
              <w:jc w:val="center"/>
            </w:pPr>
            <w:r>
              <w:rPr>
                <w:sz w:val="20"/>
              </w:rPr>
              <w:t xml:space="preserve">1</w:t>
            </w:r>
          </w:p>
        </w:tc>
        <w:tc>
          <w:tcPr>
            <w:tcW w:w="3300" w:type="dxa"/>
          </w:tcPr>
          <w:p>
            <w:pPr>
              <w:pStyle w:val="0"/>
              <w:jc w:val="center"/>
            </w:pPr>
            <w:r>
              <w:rPr>
                <w:sz w:val="20"/>
              </w:rPr>
              <w:t xml:space="preserve">2</w:t>
            </w:r>
          </w:p>
        </w:tc>
        <w:tc>
          <w:tcPr>
            <w:tcW w:w="1155" w:type="dxa"/>
          </w:tcPr>
          <w:p>
            <w:pPr>
              <w:pStyle w:val="0"/>
              <w:jc w:val="center"/>
            </w:pPr>
            <w:r>
              <w:rPr>
                <w:sz w:val="20"/>
              </w:rPr>
              <w:t xml:space="preserve">3</w:t>
            </w:r>
          </w:p>
        </w:tc>
        <w:tc>
          <w:tcPr>
            <w:tcW w:w="825" w:type="dxa"/>
          </w:tcPr>
          <w:p>
            <w:pPr>
              <w:pStyle w:val="0"/>
              <w:jc w:val="center"/>
            </w:pPr>
            <w:r>
              <w:rPr>
                <w:sz w:val="20"/>
              </w:rPr>
              <w:t xml:space="preserve">4</w:t>
            </w:r>
          </w:p>
        </w:tc>
        <w:tc>
          <w:tcPr>
            <w:tcW w:w="825" w:type="dxa"/>
          </w:tcPr>
          <w:p>
            <w:pPr>
              <w:pStyle w:val="0"/>
              <w:jc w:val="center"/>
            </w:pPr>
            <w:r>
              <w:rPr>
                <w:sz w:val="20"/>
              </w:rPr>
              <w:t xml:space="preserve">5</w:t>
            </w:r>
          </w:p>
        </w:tc>
        <w:tc>
          <w:tcPr>
            <w:tcW w:w="990" w:type="dxa"/>
          </w:tcPr>
          <w:p>
            <w:pPr>
              <w:pStyle w:val="0"/>
              <w:jc w:val="center"/>
            </w:pPr>
            <w:r>
              <w:rPr>
                <w:sz w:val="20"/>
              </w:rPr>
              <w:t xml:space="preserve">6</w:t>
            </w:r>
          </w:p>
        </w:tc>
        <w:tc>
          <w:tcPr>
            <w:tcW w:w="825" w:type="dxa"/>
          </w:tcPr>
          <w:p>
            <w:pPr>
              <w:pStyle w:val="0"/>
              <w:jc w:val="center"/>
            </w:pPr>
            <w:r>
              <w:rPr>
                <w:sz w:val="20"/>
              </w:rPr>
              <w:t xml:space="preserve">7</w:t>
            </w:r>
          </w:p>
        </w:tc>
        <w:tc>
          <w:tcPr>
            <w:tcW w:w="660" w:type="dxa"/>
          </w:tcPr>
          <w:p>
            <w:pPr>
              <w:pStyle w:val="0"/>
              <w:jc w:val="center"/>
            </w:pPr>
            <w:r>
              <w:rPr>
                <w:sz w:val="20"/>
              </w:rPr>
              <w:t xml:space="preserve">8</w:t>
            </w:r>
          </w:p>
        </w:tc>
        <w:tc>
          <w:tcPr>
            <w:tcW w:w="660" w:type="dxa"/>
          </w:tcPr>
          <w:p>
            <w:pPr>
              <w:pStyle w:val="0"/>
              <w:jc w:val="center"/>
            </w:pPr>
            <w:r>
              <w:rPr>
                <w:sz w:val="20"/>
              </w:rPr>
              <w:t xml:space="preserve">9</w:t>
            </w:r>
          </w:p>
        </w:tc>
        <w:tc>
          <w:tcPr>
            <w:tcW w:w="660" w:type="dxa"/>
          </w:tcPr>
          <w:p>
            <w:pPr>
              <w:pStyle w:val="0"/>
              <w:jc w:val="center"/>
            </w:pPr>
            <w:r>
              <w:rPr>
                <w:sz w:val="20"/>
              </w:rPr>
              <w:t xml:space="preserve">10</w:t>
            </w:r>
          </w:p>
        </w:tc>
        <w:tc>
          <w:tcPr>
            <w:tcW w:w="825" w:type="dxa"/>
          </w:tcPr>
          <w:p>
            <w:pPr>
              <w:pStyle w:val="0"/>
              <w:jc w:val="center"/>
            </w:pPr>
            <w:r>
              <w:rPr>
                <w:sz w:val="20"/>
              </w:rPr>
              <w:t xml:space="preserve">11</w:t>
            </w:r>
          </w:p>
        </w:tc>
        <w:tc>
          <w:tcPr>
            <w:tcW w:w="660" w:type="dxa"/>
          </w:tcPr>
          <w:p>
            <w:pPr>
              <w:pStyle w:val="0"/>
              <w:jc w:val="center"/>
            </w:pPr>
            <w:r>
              <w:rPr>
                <w:sz w:val="20"/>
              </w:rPr>
              <w:t xml:space="preserve">12</w:t>
            </w:r>
          </w:p>
        </w:tc>
      </w:tr>
      <w:tr>
        <w:tc>
          <w:tcPr>
            <w:tcW w:w="825" w:type="dxa"/>
          </w:tcPr>
          <w:p>
            <w:pPr>
              <w:pStyle w:val="0"/>
              <w:jc w:val="center"/>
            </w:pPr>
            <w:r>
              <w:rPr>
                <w:sz w:val="20"/>
              </w:rPr>
              <w:t xml:space="preserve">1</w:t>
            </w:r>
          </w:p>
        </w:tc>
        <w:tc>
          <w:tcPr>
            <w:tcW w:w="3300" w:type="dxa"/>
          </w:tcPr>
          <w:p>
            <w:pPr>
              <w:pStyle w:val="0"/>
            </w:pPr>
            <w:r>
              <w:rPr>
                <w:sz w:val="20"/>
              </w:rPr>
              <w:t xml:space="preserve">Неподконтрольные расходы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2</w:t>
            </w:r>
          </w:p>
        </w:tc>
        <w:tc>
          <w:tcPr>
            <w:tcW w:w="3300" w:type="dxa"/>
          </w:tcPr>
          <w:p>
            <w:pPr>
              <w:pStyle w:val="0"/>
            </w:pPr>
            <w:r>
              <w:rPr>
                <w:sz w:val="20"/>
              </w:rPr>
              <w:t xml:space="preserve">Реагенты</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w:t>
            </w:r>
          </w:p>
        </w:tc>
        <w:tc>
          <w:tcPr>
            <w:tcW w:w="3300" w:type="dxa"/>
          </w:tcPr>
          <w:p>
            <w:pPr>
              <w:pStyle w:val="0"/>
            </w:pPr>
            <w:r>
              <w:rPr>
                <w:sz w:val="20"/>
              </w:rPr>
              <w:t xml:space="preserve">Расходы на оплату товаров (услуг, работ), приобретаемых у других организаций</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3.1</w:t>
            </w:r>
          </w:p>
        </w:tc>
        <w:tc>
          <w:tcPr>
            <w:tcW w:w="3300" w:type="dxa"/>
          </w:tcPr>
          <w:p>
            <w:pPr>
              <w:pStyle w:val="0"/>
              <w:ind w:left="283"/>
            </w:pPr>
            <w:r>
              <w:rPr>
                <w:sz w:val="20"/>
              </w:rPr>
              <w:t xml:space="preserve">Расходы на тепловую энергию</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3.2</w:t>
            </w:r>
          </w:p>
        </w:tc>
        <w:tc>
          <w:tcPr>
            <w:tcW w:w="3300" w:type="dxa"/>
          </w:tcPr>
          <w:p>
            <w:pPr>
              <w:pStyle w:val="0"/>
              <w:ind w:left="283"/>
            </w:pPr>
            <w:r>
              <w:rPr>
                <w:sz w:val="20"/>
              </w:rPr>
              <w:t xml:space="preserve">Расходы на теплоноситель</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3.3</w:t>
            </w:r>
          </w:p>
        </w:tc>
        <w:tc>
          <w:tcPr>
            <w:tcW w:w="3300" w:type="dxa"/>
          </w:tcPr>
          <w:p>
            <w:pPr>
              <w:pStyle w:val="0"/>
              <w:ind w:left="283"/>
            </w:pPr>
            <w:r>
              <w:rPr>
                <w:sz w:val="20"/>
              </w:rPr>
              <w:t xml:space="preserve">Расходы на транспортировку воды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3.4</w:t>
            </w:r>
          </w:p>
        </w:tc>
        <w:tc>
          <w:tcPr>
            <w:tcW w:w="3300" w:type="dxa"/>
          </w:tcPr>
          <w:p>
            <w:pPr>
              <w:pStyle w:val="0"/>
              <w:ind w:left="283"/>
            </w:pPr>
            <w:r>
              <w:rPr>
                <w:sz w:val="20"/>
              </w:rPr>
              <w:t xml:space="preserve">Расходы на покупку воды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3.5</w:t>
            </w:r>
          </w:p>
        </w:tc>
        <w:tc>
          <w:tcPr>
            <w:tcW w:w="3300" w:type="dxa"/>
          </w:tcPr>
          <w:p>
            <w:pPr>
              <w:pStyle w:val="0"/>
              <w:ind w:left="283"/>
            </w:pPr>
            <w:r>
              <w:rPr>
                <w:sz w:val="20"/>
              </w:rPr>
              <w:t xml:space="preserve">Услуги по холодному водоснабжению</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3.6</w:t>
            </w:r>
          </w:p>
        </w:tc>
        <w:tc>
          <w:tcPr>
            <w:tcW w:w="3300" w:type="dxa"/>
          </w:tcPr>
          <w:p>
            <w:pPr>
              <w:pStyle w:val="0"/>
              <w:ind w:left="283"/>
            </w:pPr>
            <w:r>
              <w:rPr>
                <w:sz w:val="20"/>
              </w:rPr>
              <w:t xml:space="preserve">Услуги по транспортировке холодной воды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3.7</w:t>
            </w:r>
          </w:p>
        </w:tc>
        <w:tc>
          <w:tcPr>
            <w:tcW w:w="3300" w:type="dxa"/>
          </w:tcPr>
          <w:p>
            <w:pPr>
              <w:pStyle w:val="0"/>
              <w:ind w:left="283"/>
            </w:pPr>
            <w:r>
              <w:rPr>
                <w:sz w:val="20"/>
              </w:rPr>
              <w:t xml:space="preserve">Услуги по горячему водоснабжению</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3.8</w:t>
            </w:r>
          </w:p>
        </w:tc>
        <w:tc>
          <w:tcPr>
            <w:tcW w:w="3300" w:type="dxa"/>
          </w:tcPr>
          <w:p>
            <w:pPr>
              <w:pStyle w:val="0"/>
              <w:ind w:left="283"/>
            </w:pPr>
            <w:r>
              <w:rPr>
                <w:sz w:val="20"/>
              </w:rPr>
              <w:t xml:space="preserve">Услуги по приготовлению воды на нужды горячего водоснабжения</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3.9</w:t>
            </w:r>
          </w:p>
        </w:tc>
        <w:tc>
          <w:tcPr>
            <w:tcW w:w="3300" w:type="dxa"/>
          </w:tcPr>
          <w:p>
            <w:pPr>
              <w:pStyle w:val="0"/>
              <w:ind w:left="283"/>
            </w:pPr>
            <w:r>
              <w:rPr>
                <w:sz w:val="20"/>
              </w:rPr>
              <w:t xml:space="preserve">Услуги по транспортировке горячей воды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3.10</w:t>
            </w:r>
          </w:p>
        </w:tc>
        <w:tc>
          <w:tcPr>
            <w:tcW w:w="3300" w:type="dxa"/>
          </w:tcPr>
          <w:p>
            <w:pPr>
              <w:pStyle w:val="0"/>
              <w:ind w:left="283"/>
            </w:pPr>
            <w:r>
              <w:rPr>
                <w:sz w:val="20"/>
              </w:rPr>
              <w:t xml:space="preserve">Услуги по водоотведению</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3.11</w:t>
            </w:r>
          </w:p>
        </w:tc>
        <w:tc>
          <w:tcPr>
            <w:tcW w:w="3300" w:type="dxa"/>
          </w:tcPr>
          <w:p>
            <w:pPr>
              <w:pStyle w:val="0"/>
              <w:ind w:left="283"/>
            </w:pPr>
            <w:r>
              <w:rPr>
                <w:sz w:val="20"/>
              </w:rPr>
              <w:t xml:space="preserve">Услуги по транспортировке сточных вод</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4</w:t>
            </w:r>
          </w:p>
        </w:tc>
        <w:tc>
          <w:tcPr>
            <w:tcW w:w="3300" w:type="dxa"/>
          </w:tcPr>
          <w:p>
            <w:pPr>
              <w:pStyle w:val="0"/>
            </w:pPr>
            <w:r>
              <w:rPr>
                <w:sz w:val="20"/>
              </w:rPr>
              <w:t xml:space="preserve">Налоги и сборы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4.1</w:t>
            </w:r>
          </w:p>
        </w:tc>
        <w:tc>
          <w:tcPr>
            <w:tcW w:w="3300" w:type="dxa"/>
          </w:tcPr>
          <w:p>
            <w:pPr>
              <w:pStyle w:val="0"/>
              <w:ind w:left="283"/>
            </w:pPr>
            <w:r>
              <w:rPr>
                <w:sz w:val="20"/>
              </w:rPr>
              <w:t xml:space="preserve">Налог на прибыль</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4.2</w:t>
            </w:r>
          </w:p>
        </w:tc>
        <w:tc>
          <w:tcPr>
            <w:tcW w:w="3300" w:type="dxa"/>
          </w:tcPr>
          <w:p>
            <w:pPr>
              <w:pStyle w:val="0"/>
              <w:ind w:left="283"/>
            </w:pPr>
            <w:r>
              <w:rPr>
                <w:sz w:val="20"/>
              </w:rPr>
              <w:t xml:space="preserve">Налог на имущество организаций</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4.3</w:t>
            </w:r>
          </w:p>
        </w:tc>
        <w:tc>
          <w:tcPr>
            <w:tcW w:w="3300" w:type="dxa"/>
          </w:tcPr>
          <w:p>
            <w:pPr>
              <w:pStyle w:val="0"/>
              <w:ind w:left="283"/>
            </w:pPr>
            <w:r>
              <w:rPr>
                <w:sz w:val="20"/>
              </w:rPr>
              <w:t xml:space="preserve">Земельный налог и арендная плата за землю</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4.4</w:t>
            </w:r>
          </w:p>
        </w:tc>
        <w:tc>
          <w:tcPr>
            <w:tcW w:w="3300" w:type="dxa"/>
          </w:tcPr>
          <w:p>
            <w:pPr>
              <w:pStyle w:val="0"/>
              <w:ind w:left="283"/>
            </w:pPr>
            <w:r>
              <w:rPr>
                <w:sz w:val="20"/>
              </w:rPr>
              <w:t xml:space="preserve">Водный налог</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4.5</w:t>
            </w:r>
          </w:p>
        </w:tc>
        <w:tc>
          <w:tcPr>
            <w:tcW w:w="3300" w:type="dxa"/>
          </w:tcPr>
          <w:p>
            <w:pPr>
              <w:pStyle w:val="0"/>
              <w:ind w:left="283"/>
            </w:pPr>
            <w:r>
              <w:rPr>
                <w:sz w:val="20"/>
              </w:rPr>
              <w:t xml:space="preserve">Плата за пользование водным объектом</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4.6</w:t>
            </w:r>
          </w:p>
        </w:tc>
        <w:tc>
          <w:tcPr>
            <w:tcW w:w="3300" w:type="dxa"/>
          </w:tcPr>
          <w:p>
            <w:pPr>
              <w:pStyle w:val="0"/>
              <w:ind w:left="283"/>
            </w:pPr>
            <w:r>
              <w:rPr>
                <w:sz w:val="20"/>
              </w:rPr>
              <w:t xml:space="preserve">Транспортный налог</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4.7</w:t>
            </w:r>
          </w:p>
        </w:tc>
        <w:tc>
          <w:tcPr>
            <w:tcW w:w="3300" w:type="dxa"/>
          </w:tcPr>
          <w:p>
            <w:pPr>
              <w:pStyle w:val="0"/>
              <w:ind w:left="283"/>
            </w:pPr>
            <w:r>
              <w:rPr>
                <w:sz w:val="20"/>
              </w:rPr>
              <w:t xml:space="preserve">Плата за негативное воздействие на окружающую среду</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4.8</w:t>
            </w:r>
          </w:p>
        </w:tc>
        <w:tc>
          <w:tcPr>
            <w:tcW w:w="3300" w:type="dxa"/>
          </w:tcPr>
          <w:p>
            <w:pPr>
              <w:pStyle w:val="0"/>
              <w:ind w:left="283"/>
            </w:pPr>
            <w:r>
              <w:rPr>
                <w:sz w:val="20"/>
              </w:rPr>
              <w:t xml:space="preserve">Прочие налоги и сборы</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5</w:t>
            </w:r>
          </w:p>
        </w:tc>
        <w:tc>
          <w:tcPr>
            <w:tcW w:w="3300" w:type="dxa"/>
          </w:tcPr>
          <w:p>
            <w:pPr>
              <w:pStyle w:val="0"/>
            </w:pPr>
            <w:r>
              <w:rPr>
                <w:sz w:val="20"/>
              </w:rPr>
              <w:t xml:space="preserve">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tc>
        <w:tc>
          <w:tcPr>
            <w:tcW w:w="1155" w:type="dxa"/>
          </w:tcPr>
          <w:p>
            <w:pPr>
              <w:pStyle w:val="0"/>
              <w:jc w:val="center"/>
            </w:pPr>
            <w:r>
              <w:rPr>
                <w:sz w:val="20"/>
              </w:rPr>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6</w:t>
            </w:r>
          </w:p>
        </w:tc>
        <w:tc>
          <w:tcPr>
            <w:tcW w:w="3300" w:type="dxa"/>
          </w:tcPr>
          <w:p>
            <w:pPr>
              <w:pStyle w:val="0"/>
            </w:pPr>
            <w:r>
              <w:rPr>
                <w:sz w:val="20"/>
              </w:rPr>
              <w:t xml:space="preserve">Арендная и концессионная плата, лизинговые платежи</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7</w:t>
            </w:r>
          </w:p>
        </w:tc>
        <w:tc>
          <w:tcPr>
            <w:tcW w:w="3300" w:type="dxa"/>
          </w:tcPr>
          <w:p>
            <w:pPr>
              <w:pStyle w:val="0"/>
            </w:pPr>
            <w:r>
              <w:rPr>
                <w:sz w:val="20"/>
              </w:rPr>
              <w:t xml:space="preserve">Резерв по сомнительным долгам гарантирующей организации</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7.1</w:t>
            </w:r>
          </w:p>
        </w:tc>
        <w:tc>
          <w:tcPr>
            <w:tcW w:w="3300" w:type="dxa"/>
          </w:tcPr>
          <w:p>
            <w:pPr>
              <w:pStyle w:val="0"/>
              <w:ind w:left="283"/>
            </w:pPr>
            <w:r>
              <w:rPr>
                <w:sz w:val="20"/>
              </w:rPr>
              <w:t xml:space="preserve">Сбытовые расходы гарантирующей организации</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8</w:t>
            </w:r>
          </w:p>
        </w:tc>
        <w:tc>
          <w:tcPr>
            <w:tcW w:w="3300" w:type="dxa"/>
          </w:tcPr>
          <w:p>
            <w:pPr>
              <w:pStyle w:val="0"/>
            </w:pPr>
            <w:r>
              <w:rPr>
                <w:sz w:val="20"/>
              </w:rPr>
              <w:t xml:space="preserve">Экономия расходов</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9</w:t>
            </w:r>
          </w:p>
        </w:tc>
        <w:tc>
          <w:tcPr>
            <w:tcW w:w="3300" w:type="dxa"/>
          </w:tcPr>
          <w:p>
            <w:pPr>
              <w:pStyle w:val="0"/>
            </w:pPr>
            <w:r>
              <w:rPr>
                <w:sz w:val="20"/>
              </w:rPr>
              <w:t xml:space="preserve">Расходы на обслуживание бесхозяйных сетей</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10</w:t>
            </w:r>
          </w:p>
        </w:tc>
        <w:tc>
          <w:tcPr>
            <w:tcW w:w="3300" w:type="dxa"/>
          </w:tcPr>
          <w:p>
            <w:pPr>
              <w:pStyle w:val="0"/>
            </w:pPr>
            <w:r>
              <w:rPr>
                <w:sz w:val="20"/>
              </w:rPr>
              <w:t xml:space="preserve">Расходы на компенсацию экономически обоснованных расходов</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11</w:t>
            </w:r>
          </w:p>
        </w:tc>
        <w:tc>
          <w:tcPr>
            <w:tcW w:w="3300" w:type="dxa"/>
          </w:tcPr>
          <w:p>
            <w:pPr>
              <w:pStyle w:val="0"/>
            </w:pPr>
            <w:r>
              <w:rPr>
                <w:sz w:val="20"/>
              </w:rPr>
              <w:t xml:space="preserve">Займы и кредиты (для метода индексации)</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11.1</w:t>
            </w:r>
          </w:p>
        </w:tc>
        <w:tc>
          <w:tcPr>
            <w:tcW w:w="3300" w:type="dxa"/>
          </w:tcPr>
          <w:p>
            <w:pPr>
              <w:pStyle w:val="0"/>
              <w:ind w:left="283"/>
            </w:pPr>
            <w:r>
              <w:rPr>
                <w:sz w:val="20"/>
              </w:rPr>
              <w:t xml:space="preserve">Возврат займов и кредитов</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11.2</w:t>
            </w:r>
          </w:p>
        </w:tc>
        <w:tc>
          <w:tcPr>
            <w:tcW w:w="3300" w:type="dxa"/>
          </w:tcPr>
          <w:p>
            <w:pPr>
              <w:pStyle w:val="0"/>
              <w:ind w:left="283"/>
            </w:pPr>
            <w:r>
              <w:rPr>
                <w:sz w:val="20"/>
              </w:rPr>
              <w:t xml:space="preserve">Проценты по займам и кредитам</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r>
        <w:tc>
          <w:tcPr>
            <w:tcW w:w="825" w:type="dxa"/>
          </w:tcPr>
          <w:p>
            <w:pPr>
              <w:pStyle w:val="0"/>
              <w:jc w:val="center"/>
            </w:pPr>
            <w:r>
              <w:rPr>
                <w:sz w:val="20"/>
              </w:rPr>
              <w:t xml:space="preserve">12</w:t>
            </w:r>
          </w:p>
        </w:tc>
        <w:tc>
          <w:tcPr>
            <w:tcW w:w="3300" w:type="dxa"/>
          </w:tcPr>
          <w:p>
            <w:pPr>
              <w:pStyle w:val="0"/>
              <w:ind w:left="283"/>
            </w:pPr>
            <w:r>
              <w:rPr>
                <w:sz w:val="20"/>
              </w:rPr>
              <w:t xml:space="preserve">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1155" w:type="dxa"/>
          </w:tcPr>
          <w:p>
            <w:pPr>
              <w:pStyle w:val="0"/>
              <w:jc w:val="center"/>
            </w:pPr>
            <w:r>
              <w:rPr>
                <w:sz w:val="20"/>
              </w:rPr>
              <w:t xml:space="preserve">тыс. руб</w:t>
            </w:r>
          </w:p>
        </w:tc>
        <w:tc>
          <w:tcPr>
            <w:tcW w:w="825"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660" w:type="dxa"/>
          </w:tcPr>
          <w:p>
            <w:pPr>
              <w:pStyle w:val="0"/>
              <w:jc w:val="center"/>
            </w:pPr>
            <w:r>
              <w:rPr>
                <w:sz w:val="20"/>
              </w:rPr>
            </w:r>
          </w:p>
        </w:tc>
        <w:tc>
          <w:tcPr>
            <w:tcW w:w="825" w:type="dxa"/>
          </w:tcPr>
          <w:p>
            <w:pPr>
              <w:pStyle w:val="0"/>
              <w:jc w:val="center"/>
            </w:pPr>
            <w:r>
              <w:rPr>
                <w:sz w:val="20"/>
              </w:rPr>
            </w:r>
          </w:p>
        </w:tc>
        <w:tc>
          <w:tcPr>
            <w:tcW w:w="660" w:type="dxa"/>
          </w:tcPr>
          <w:p>
            <w:pPr>
              <w:pStyle w:val="0"/>
              <w:jc w:val="center"/>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6.5</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05" w:tooltip="Приказ ФАС России от 08.10.2020 N 976/20 &quot;О внесении изменений в Методические указания по расчету регулируемых тарифов в сфере водоснабжения и водоотведения, утвержденные приказом Федеральной службы по тарифам от 27.12.2013 N 1746-э&quot; (Зарегистрировано в Минюсте России 30.11.2020 N 61160) {КонсультантПлюс}">
              <w:r>
                <w:rPr>
                  <w:sz w:val="20"/>
                  <w:color w:val="0000ff"/>
                </w:rPr>
                <w:t xml:space="preserve">Приказа</w:t>
              </w:r>
            </w:hyperlink>
            <w:r>
              <w:rPr>
                <w:sz w:val="20"/>
                <w:color w:val="392c69"/>
              </w:rPr>
              <w:t xml:space="preserve"> ФАС России от 08.10.2020 N 976/20)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Индекс изменения количества активов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2268"/>
        <w:gridCol w:w="884"/>
        <w:gridCol w:w="680"/>
        <w:gridCol w:w="624"/>
        <w:gridCol w:w="624"/>
        <w:gridCol w:w="737"/>
        <w:gridCol w:w="544"/>
        <w:gridCol w:w="544"/>
        <w:gridCol w:w="544"/>
        <w:gridCol w:w="544"/>
        <w:gridCol w:w="544"/>
      </w:tblGrid>
      <w:tr>
        <w:tc>
          <w:tcPr>
            <w:tcW w:w="524"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w:t>
            </w:r>
          </w:p>
        </w:tc>
        <w:tc>
          <w:tcPr>
            <w:tcW w:w="884" w:type="dxa"/>
            <w:vMerge w:val="restart"/>
          </w:tcPr>
          <w:p>
            <w:pPr>
              <w:pStyle w:val="0"/>
              <w:jc w:val="center"/>
            </w:pPr>
            <w:r>
              <w:rPr>
                <w:sz w:val="20"/>
              </w:rPr>
              <w:t xml:space="preserve">Единица измерений</w:t>
            </w:r>
          </w:p>
        </w:tc>
        <w:tc>
          <w:tcPr>
            <w:gridSpan w:val="2"/>
            <w:tcW w:w="1304" w:type="dxa"/>
          </w:tcPr>
          <w:p>
            <w:pPr>
              <w:pStyle w:val="0"/>
              <w:jc w:val="center"/>
            </w:pPr>
            <w:r>
              <w:rPr>
                <w:sz w:val="20"/>
              </w:rPr>
              <w:t xml:space="preserve">Истекший год (i-2)</w:t>
            </w:r>
          </w:p>
        </w:tc>
        <w:tc>
          <w:tcPr>
            <w:gridSpan w:val="2"/>
            <w:tcW w:w="1361" w:type="dxa"/>
          </w:tcPr>
          <w:p>
            <w:pPr>
              <w:pStyle w:val="0"/>
              <w:jc w:val="center"/>
            </w:pPr>
            <w:r>
              <w:rPr>
                <w:sz w:val="20"/>
              </w:rPr>
              <w:t xml:space="preserve">Текущий год (i-1)</w:t>
            </w:r>
          </w:p>
        </w:tc>
        <w:tc>
          <w:tcPr>
            <w:tcW w:w="544" w:type="dxa"/>
            <w:vMerge w:val="restart"/>
          </w:tcPr>
          <w:p>
            <w:pPr>
              <w:pStyle w:val="0"/>
              <w:jc w:val="center"/>
            </w:pPr>
            <w:r>
              <w:rPr>
                <w:sz w:val="20"/>
              </w:rPr>
              <w:t xml:space="preserve">1-й год</w:t>
            </w:r>
          </w:p>
        </w:tc>
        <w:tc>
          <w:tcPr>
            <w:tcW w:w="544" w:type="dxa"/>
            <w:vMerge w:val="restart"/>
          </w:tcPr>
          <w:p>
            <w:pPr>
              <w:pStyle w:val="0"/>
              <w:jc w:val="center"/>
            </w:pPr>
            <w:r>
              <w:rPr>
                <w:sz w:val="20"/>
              </w:rPr>
              <w:t xml:space="preserve">2-й год</w:t>
            </w:r>
          </w:p>
        </w:tc>
        <w:tc>
          <w:tcPr>
            <w:tcW w:w="544" w:type="dxa"/>
            <w:vMerge w:val="restart"/>
          </w:tcPr>
          <w:p>
            <w:pPr>
              <w:pStyle w:val="0"/>
              <w:jc w:val="center"/>
            </w:pPr>
            <w:r>
              <w:rPr>
                <w:sz w:val="20"/>
              </w:rPr>
              <w:t xml:space="preserve">3-й год</w:t>
            </w:r>
          </w:p>
        </w:tc>
        <w:tc>
          <w:tcPr>
            <w:tcW w:w="544" w:type="dxa"/>
            <w:vMerge w:val="restart"/>
          </w:tcPr>
          <w:p>
            <w:pPr>
              <w:pStyle w:val="0"/>
              <w:jc w:val="center"/>
            </w:pPr>
            <w:r>
              <w:rPr>
                <w:sz w:val="20"/>
              </w:rPr>
              <w:t xml:space="preserve">4-й год</w:t>
            </w:r>
          </w:p>
        </w:tc>
        <w:tc>
          <w:tcPr>
            <w:tcW w:w="544" w:type="dxa"/>
            <w:vMerge w:val="restart"/>
          </w:tcPr>
          <w:p>
            <w:pPr>
              <w:pStyle w:val="0"/>
              <w:jc w:val="center"/>
            </w:pPr>
            <w:r>
              <w:rPr>
                <w:sz w:val="20"/>
              </w:rPr>
              <w:t xml:space="preserve">5-й год</w:t>
            </w:r>
          </w:p>
        </w:tc>
      </w:tr>
      <w:tr>
        <w:tc>
          <w:tcPr>
            <w:vMerge w:val="continue"/>
          </w:tcPr>
          <w:p/>
        </w:tc>
        <w:tc>
          <w:tcPr>
            <w:vMerge w:val="continue"/>
          </w:tcPr>
          <w:p/>
        </w:tc>
        <w:tc>
          <w:tcPr>
            <w:vMerge w:val="continue"/>
          </w:tcPr>
          <w:p/>
        </w:tc>
        <w:tc>
          <w:tcPr>
            <w:tcW w:w="680" w:type="dxa"/>
          </w:tcPr>
          <w:p>
            <w:pPr>
              <w:pStyle w:val="0"/>
              <w:jc w:val="center"/>
            </w:pPr>
            <w:r>
              <w:rPr>
                <w:sz w:val="20"/>
              </w:rPr>
              <w:t xml:space="preserve">план</w:t>
            </w:r>
          </w:p>
        </w:tc>
        <w:tc>
          <w:tcPr>
            <w:tcW w:w="624"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737" w:type="dxa"/>
          </w:tcPr>
          <w:p>
            <w:pPr>
              <w:pStyle w:val="0"/>
              <w:jc w:val="center"/>
            </w:pPr>
            <w:r>
              <w:rPr>
                <w:sz w:val="20"/>
              </w:rPr>
              <w:t xml:space="preserve">ожид</w:t>
            </w:r>
          </w:p>
        </w:tc>
        <w:tc>
          <w:tcPr>
            <w:vMerge w:val="continue"/>
          </w:tcPr>
          <w:p/>
        </w:tc>
        <w:tc>
          <w:tcPr>
            <w:vMerge w:val="continue"/>
          </w:tcPr>
          <w:p/>
        </w:tc>
        <w:tc>
          <w:tcPr>
            <w:vMerge w:val="continue"/>
          </w:tcPr>
          <w:p/>
        </w:tc>
        <w:tc>
          <w:tcPr>
            <w:vMerge w:val="continue"/>
          </w:tcPr>
          <w:p/>
        </w:tc>
        <w:tc>
          <w:tcPr>
            <w:vMerge w:val="continue"/>
          </w:tcPr>
          <w:p/>
        </w:tc>
      </w:tr>
      <w:tr>
        <w:tc>
          <w:tcPr>
            <w:tcW w:w="524" w:type="dxa"/>
          </w:tcPr>
          <w:p>
            <w:pPr>
              <w:pStyle w:val="0"/>
              <w:jc w:val="center"/>
            </w:pPr>
            <w:r>
              <w:rPr>
                <w:sz w:val="20"/>
              </w:rPr>
              <w:t xml:space="preserve">1</w:t>
            </w:r>
          </w:p>
        </w:tc>
        <w:tc>
          <w:tcPr>
            <w:tcW w:w="2268" w:type="dxa"/>
          </w:tcPr>
          <w:p>
            <w:pPr>
              <w:pStyle w:val="0"/>
              <w:jc w:val="center"/>
            </w:pPr>
            <w:r>
              <w:rPr>
                <w:sz w:val="20"/>
              </w:rPr>
              <w:t xml:space="preserve">2</w:t>
            </w:r>
          </w:p>
        </w:tc>
        <w:tc>
          <w:tcPr>
            <w:tcW w:w="884" w:type="dxa"/>
          </w:tcPr>
          <w:p>
            <w:pPr>
              <w:pStyle w:val="0"/>
              <w:jc w:val="center"/>
            </w:pPr>
            <w:r>
              <w:rPr>
                <w:sz w:val="20"/>
              </w:rPr>
              <w:t xml:space="preserve">3</w:t>
            </w:r>
          </w:p>
        </w:tc>
        <w:tc>
          <w:tcPr>
            <w:tcW w:w="680" w:type="dxa"/>
          </w:tcPr>
          <w:p>
            <w:pPr>
              <w:pStyle w:val="0"/>
              <w:jc w:val="center"/>
            </w:pPr>
            <w:r>
              <w:rPr>
                <w:sz w:val="20"/>
              </w:rPr>
              <w:t xml:space="preserve">4</w:t>
            </w:r>
          </w:p>
        </w:tc>
        <w:tc>
          <w:tcPr>
            <w:tcW w:w="624" w:type="dxa"/>
          </w:tcPr>
          <w:p>
            <w:pPr>
              <w:pStyle w:val="0"/>
              <w:jc w:val="center"/>
            </w:pPr>
            <w:r>
              <w:rPr>
                <w:sz w:val="20"/>
              </w:rPr>
              <w:t xml:space="preserve">5</w:t>
            </w:r>
          </w:p>
        </w:tc>
        <w:tc>
          <w:tcPr>
            <w:tcW w:w="624" w:type="dxa"/>
          </w:tcPr>
          <w:p>
            <w:pPr>
              <w:pStyle w:val="0"/>
              <w:jc w:val="center"/>
            </w:pPr>
            <w:r>
              <w:rPr>
                <w:sz w:val="20"/>
              </w:rPr>
              <w:t xml:space="preserve">6</w:t>
            </w:r>
          </w:p>
        </w:tc>
        <w:tc>
          <w:tcPr>
            <w:tcW w:w="737" w:type="dxa"/>
          </w:tcPr>
          <w:p>
            <w:pPr>
              <w:pStyle w:val="0"/>
              <w:jc w:val="center"/>
            </w:pPr>
            <w:r>
              <w:rPr>
                <w:sz w:val="20"/>
              </w:rPr>
              <w:t xml:space="preserve">7</w:t>
            </w:r>
          </w:p>
        </w:tc>
        <w:tc>
          <w:tcPr>
            <w:tcW w:w="544" w:type="dxa"/>
          </w:tcPr>
          <w:p>
            <w:pPr>
              <w:pStyle w:val="0"/>
              <w:jc w:val="center"/>
            </w:pPr>
            <w:r>
              <w:rPr>
                <w:sz w:val="20"/>
              </w:rPr>
              <w:t xml:space="preserve">8</w:t>
            </w:r>
          </w:p>
        </w:tc>
        <w:tc>
          <w:tcPr>
            <w:tcW w:w="544" w:type="dxa"/>
          </w:tcPr>
          <w:p>
            <w:pPr>
              <w:pStyle w:val="0"/>
              <w:jc w:val="center"/>
            </w:pPr>
            <w:r>
              <w:rPr>
                <w:sz w:val="20"/>
              </w:rPr>
              <w:t xml:space="preserve">9</w:t>
            </w:r>
          </w:p>
        </w:tc>
        <w:tc>
          <w:tcPr>
            <w:tcW w:w="544" w:type="dxa"/>
          </w:tcPr>
          <w:p>
            <w:pPr>
              <w:pStyle w:val="0"/>
              <w:jc w:val="center"/>
            </w:pPr>
            <w:r>
              <w:rPr>
                <w:sz w:val="20"/>
              </w:rPr>
              <w:t xml:space="preserve">10</w:t>
            </w:r>
          </w:p>
        </w:tc>
        <w:tc>
          <w:tcPr>
            <w:tcW w:w="544" w:type="dxa"/>
          </w:tcPr>
          <w:p>
            <w:pPr>
              <w:pStyle w:val="0"/>
              <w:jc w:val="center"/>
            </w:pPr>
            <w:r>
              <w:rPr>
                <w:sz w:val="20"/>
              </w:rPr>
              <w:t xml:space="preserve">11</w:t>
            </w:r>
          </w:p>
        </w:tc>
        <w:tc>
          <w:tcPr>
            <w:tcW w:w="544" w:type="dxa"/>
          </w:tcPr>
          <w:p>
            <w:pPr>
              <w:pStyle w:val="0"/>
              <w:jc w:val="center"/>
            </w:pPr>
            <w:r>
              <w:rPr>
                <w:sz w:val="20"/>
              </w:rPr>
              <w:t xml:space="preserve">12</w:t>
            </w:r>
          </w:p>
        </w:tc>
      </w:tr>
      <w:tr>
        <w:tc>
          <w:tcPr>
            <w:tcW w:w="524" w:type="dxa"/>
          </w:tcPr>
          <w:p>
            <w:pPr>
              <w:pStyle w:val="0"/>
              <w:jc w:val="center"/>
            </w:pPr>
            <w:r>
              <w:rPr>
                <w:sz w:val="20"/>
              </w:rPr>
              <w:t xml:space="preserve">1</w:t>
            </w:r>
          </w:p>
        </w:tc>
        <w:tc>
          <w:tcPr>
            <w:tcW w:w="2268" w:type="dxa"/>
          </w:tcPr>
          <w:p>
            <w:pPr>
              <w:pStyle w:val="0"/>
            </w:pPr>
            <w:r>
              <w:rPr>
                <w:sz w:val="20"/>
              </w:rPr>
              <w:t xml:space="preserve">Индекс изменения количества активов</w:t>
            </w:r>
          </w:p>
        </w:tc>
        <w:tc>
          <w:tcPr>
            <w:tcW w:w="884" w:type="dxa"/>
          </w:tcPr>
          <w:p>
            <w:pPr>
              <w:pStyle w:val="0"/>
              <w:jc w:val="center"/>
            </w:pPr>
            <w:r>
              <w:rPr>
                <w:sz w:val="20"/>
              </w:rPr>
              <w:t xml:space="preserve">-</w:t>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r>
      <w:tr>
        <w:tc>
          <w:tcPr>
            <w:tcW w:w="524" w:type="dxa"/>
          </w:tcPr>
          <w:p>
            <w:pPr>
              <w:pStyle w:val="0"/>
              <w:jc w:val="center"/>
            </w:pPr>
            <w:r>
              <w:rPr>
                <w:sz w:val="20"/>
              </w:rPr>
              <w:t xml:space="preserve">2</w:t>
            </w:r>
          </w:p>
        </w:tc>
        <w:tc>
          <w:tcPr>
            <w:tcW w:w="2268" w:type="dxa"/>
          </w:tcPr>
          <w:p>
            <w:pPr>
              <w:pStyle w:val="0"/>
              <w:jc w:val="both"/>
            </w:pPr>
            <w:r>
              <w:rPr>
                <w:sz w:val="20"/>
              </w:rPr>
              <w:t xml:space="preserve">Изменение количества условных километров водопроводной (канализационной) сети</w:t>
            </w:r>
          </w:p>
        </w:tc>
        <w:tc>
          <w:tcPr>
            <w:tcW w:w="884" w:type="dxa"/>
          </w:tcPr>
          <w:p>
            <w:pPr>
              <w:pStyle w:val="0"/>
              <w:jc w:val="center"/>
            </w:pPr>
            <w:r>
              <w:rPr>
                <w:sz w:val="20"/>
              </w:rPr>
              <w:t xml:space="preserve">%</w:t>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r>
      <w:tr>
        <w:tc>
          <w:tcPr>
            <w:tcW w:w="524" w:type="dxa"/>
          </w:tcPr>
          <w:p>
            <w:pPr>
              <w:pStyle w:val="0"/>
              <w:jc w:val="center"/>
            </w:pPr>
            <w:r>
              <w:rPr>
                <w:sz w:val="20"/>
              </w:rPr>
              <w:t xml:space="preserve">3</w:t>
            </w:r>
          </w:p>
        </w:tc>
        <w:tc>
          <w:tcPr>
            <w:tcW w:w="2268" w:type="dxa"/>
          </w:tcPr>
          <w:p>
            <w:pPr>
              <w:pStyle w:val="0"/>
              <w:jc w:val="both"/>
            </w:pPr>
            <w:r>
              <w:rPr>
                <w:sz w:val="20"/>
              </w:rPr>
              <w:t xml:space="preserve">Изменение операционных расходов на водоподготовку, очистку сточных вод, связанное с вводом в эксплуатацию нового объекта водоподготовки, включая резервуары воды, очистки сточных вод в году i</w:t>
            </w:r>
          </w:p>
        </w:tc>
        <w:tc>
          <w:tcPr>
            <w:tcW w:w="884" w:type="dxa"/>
          </w:tcPr>
          <w:p>
            <w:pPr>
              <w:pStyle w:val="0"/>
              <w:jc w:val="center"/>
            </w:pPr>
            <w:r>
              <w:rPr>
                <w:sz w:val="20"/>
              </w:rPr>
              <w:t xml:space="preserve">тыс. руб.</w:t>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r>
      <w:tr>
        <w:tc>
          <w:tcPr>
            <w:tcW w:w="524" w:type="dxa"/>
          </w:tcPr>
          <w:p>
            <w:pPr>
              <w:pStyle w:val="0"/>
              <w:jc w:val="center"/>
            </w:pPr>
            <w:r>
              <w:rPr>
                <w:sz w:val="20"/>
              </w:rPr>
              <w:t xml:space="preserve">4</w:t>
            </w:r>
          </w:p>
        </w:tc>
        <w:tc>
          <w:tcPr>
            <w:tcW w:w="2268" w:type="dxa"/>
          </w:tcPr>
          <w:p>
            <w:pPr>
              <w:pStyle w:val="0"/>
              <w:jc w:val="both"/>
            </w:pPr>
            <w:r>
              <w:rPr>
                <w:sz w:val="20"/>
              </w:rPr>
              <w:t xml:space="preserve">Индекс эффективности операционных расходов</w:t>
            </w:r>
          </w:p>
        </w:tc>
        <w:tc>
          <w:tcPr>
            <w:tcW w:w="884" w:type="dxa"/>
          </w:tcPr>
          <w:p>
            <w:pPr>
              <w:pStyle w:val="0"/>
              <w:jc w:val="center"/>
            </w:pPr>
            <w:r>
              <w:rPr>
                <w:sz w:val="20"/>
              </w:rPr>
              <w:t xml:space="preserve">-</w:t>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c>
          <w:tcPr>
            <w:tcW w:w="54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6.6</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bookmarkStart w:id="8415" w:name="P8415"/>
    <w:bookmarkEnd w:id="8415"/>
    <w:p>
      <w:pPr>
        <w:pStyle w:val="0"/>
        <w:jc w:val="center"/>
      </w:pPr>
      <w:r>
        <w:rPr>
          <w:sz w:val="20"/>
        </w:rPr>
        <w:t xml:space="preserve">Расчет экономии операционных расходов</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2778"/>
        <w:gridCol w:w="1400"/>
        <w:gridCol w:w="1434"/>
        <w:gridCol w:w="1434"/>
        <w:gridCol w:w="1434"/>
        <w:gridCol w:w="1284"/>
        <w:gridCol w:w="1294"/>
      </w:tblGrid>
      <w:tr>
        <w:tc>
          <w:tcPr>
            <w:tcW w:w="524" w:type="dxa"/>
          </w:tcPr>
          <w:p>
            <w:pPr>
              <w:pStyle w:val="0"/>
              <w:jc w:val="center"/>
            </w:pPr>
            <w:r>
              <w:rPr>
                <w:sz w:val="20"/>
              </w:rPr>
              <w:t xml:space="preserve">N п/п</w:t>
            </w:r>
          </w:p>
        </w:tc>
        <w:tc>
          <w:tcPr>
            <w:tcW w:w="2778" w:type="dxa"/>
          </w:tcPr>
          <w:p>
            <w:pPr>
              <w:pStyle w:val="0"/>
              <w:jc w:val="center"/>
            </w:pPr>
            <w:r>
              <w:rPr>
                <w:sz w:val="20"/>
              </w:rPr>
              <w:t xml:space="preserve">Показатели</w:t>
            </w:r>
          </w:p>
        </w:tc>
        <w:tc>
          <w:tcPr>
            <w:tcW w:w="1400" w:type="dxa"/>
          </w:tcPr>
          <w:p>
            <w:pPr>
              <w:pStyle w:val="0"/>
              <w:jc w:val="center"/>
            </w:pPr>
            <w:r>
              <w:rPr>
                <w:sz w:val="20"/>
              </w:rPr>
              <w:t xml:space="preserve">Единица измерения</w:t>
            </w:r>
          </w:p>
        </w:tc>
        <w:tc>
          <w:tcPr>
            <w:tcW w:w="1434" w:type="dxa"/>
          </w:tcPr>
          <w:p>
            <w:pPr>
              <w:pStyle w:val="0"/>
              <w:jc w:val="center"/>
            </w:pPr>
            <w:r>
              <w:rPr>
                <w:sz w:val="20"/>
              </w:rPr>
              <w:t xml:space="preserve">Истекший год (i1-4)</w:t>
            </w:r>
          </w:p>
        </w:tc>
        <w:tc>
          <w:tcPr>
            <w:tcW w:w="1434" w:type="dxa"/>
          </w:tcPr>
          <w:p>
            <w:pPr>
              <w:pStyle w:val="0"/>
              <w:jc w:val="center"/>
            </w:pPr>
            <w:r>
              <w:rPr>
                <w:sz w:val="20"/>
              </w:rPr>
              <w:t xml:space="preserve">Истекший год (i-3)</w:t>
            </w:r>
          </w:p>
        </w:tc>
        <w:tc>
          <w:tcPr>
            <w:tcW w:w="1434" w:type="dxa"/>
          </w:tcPr>
          <w:p>
            <w:pPr>
              <w:pStyle w:val="0"/>
              <w:jc w:val="center"/>
            </w:pPr>
            <w:r>
              <w:rPr>
                <w:sz w:val="20"/>
              </w:rPr>
              <w:t xml:space="preserve">Истекший год (i-2)</w:t>
            </w:r>
          </w:p>
        </w:tc>
        <w:tc>
          <w:tcPr>
            <w:tcW w:w="1284" w:type="dxa"/>
          </w:tcPr>
          <w:p>
            <w:pPr>
              <w:pStyle w:val="0"/>
              <w:jc w:val="center"/>
            </w:pPr>
            <w:r>
              <w:rPr>
                <w:sz w:val="20"/>
              </w:rPr>
              <w:t xml:space="preserve">Текущий год (i1-1)</w:t>
            </w:r>
          </w:p>
        </w:tc>
        <w:tc>
          <w:tcPr>
            <w:tcW w:w="1294" w:type="dxa"/>
          </w:tcPr>
          <w:p>
            <w:pPr>
              <w:pStyle w:val="0"/>
              <w:jc w:val="center"/>
            </w:pPr>
            <w:r>
              <w:rPr>
                <w:sz w:val="20"/>
              </w:rPr>
              <w:t xml:space="preserve">Год i1</w:t>
            </w:r>
          </w:p>
        </w:tc>
      </w:tr>
      <w:tr>
        <w:tc>
          <w:tcPr>
            <w:tcW w:w="524" w:type="dxa"/>
          </w:tcPr>
          <w:p>
            <w:pPr>
              <w:pStyle w:val="0"/>
              <w:jc w:val="center"/>
            </w:pPr>
            <w:r>
              <w:rPr>
                <w:sz w:val="20"/>
              </w:rPr>
              <w:t xml:space="preserve">1</w:t>
            </w:r>
          </w:p>
        </w:tc>
        <w:tc>
          <w:tcPr>
            <w:tcW w:w="2778" w:type="dxa"/>
          </w:tcPr>
          <w:p>
            <w:pPr>
              <w:pStyle w:val="0"/>
              <w:jc w:val="center"/>
            </w:pPr>
            <w:r>
              <w:rPr>
                <w:sz w:val="20"/>
              </w:rPr>
              <w:t xml:space="preserve">1</w:t>
            </w:r>
          </w:p>
        </w:tc>
        <w:tc>
          <w:tcPr>
            <w:tcW w:w="1400" w:type="dxa"/>
          </w:tcPr>
          <w:p>
            <w:pPr>
              <w:pStyle w:val="0"/>
              <w:jc w:val="center"/>
            </w:pPr>
            <w:r>
              <w:rPr>
                <w:sz w:val="20"/>
              </w:rPr>
              <w:t xml:space="preserve">2</w:t>
            </w:r>
          </w:p>
        </w:tc>
        <w:tc>
          <w:tcPr>
            <w:tcW w:w="1434" w:type="dxa"/>
          </w:tcPr>
          <w:p>
            <w:pPr>
              <w:pStyle w:val="0"/>
              <w:jc w:val="center"/>
            </w:pPr>
            <w:r>
              <w:rPr>
                <w:sz w:val="20"/>
              </w:rPr>
              <w:t xml:space="preserve">3</w:t>
            </w:r>
          </w:p>
        </w:tc>
        <w:tc>
          <w:tcPr>
            <w:tcW w:w="1434" w:type="dxa"/>
          </w:tcPr>
          <w:p>
            <w:pPr>
              <w:pStyle w:val="0"/>
              <w:jc w:val="center"/>
            </w:pPr>
            <w:r>
              <w:rPr>
                <w:sz w:val="20"/>
              </w:rPr>
              <w:t xml:space="preserve">4</w:t>
            </w:r>
          </w:p>
        </w:tc>
        <w:tc>
          <w:tcPr>
            <w:tcW w:w="1434" w:type="dxa"/>
          </w:tcPr>
          <w:p>
            <w:pPr>
              <w:pStyle w:val="0"/>
              <w:jc w:val="center"/>
            </w:pPr>
            <w:r>
              <w:rPr>
                <w:sz w:val="20"/>
              </w:rPr>
              <w:t xml:space="preserve">5</w:t>
            </w:r>
          </w:p>
        </w:tc>
        <w:tc>
          <w:tcPr>
            <w:tcW w:w="1284" w:type="dxa"/>
          </w:tcPr>
          <w:p>
            <w:pPr>
              <w:pStyle w:val="0"/>
              <w:jc w:val="center"/>
            </w:pPr>
            <w:r>
              <w:rPr>
                <w:sz w:val="20"/>
              </w:rPr>
              <w:t xml:space="preserve">6</w:t>
            </w:r>
          </w:p>
        </w:tc>
        <w:tc>
          <w:tcPr>
            <w:tcW w:w="1294" w:type="dxa"/>
          </w:tcPr>
          <w:p>
            <w:pPr>
              <w:pStyle w:val="0"/>
              <w:jc w:val="center"/>
            </w:pPr>
            <w:r>
              <w:rPr>
                <w:sz w:val="20"/>
              </w:rPr>
              <w:t xml:space="preserve">7</w:t>
            </w:r>
          </w:p>
        </w:tc>
      </w:tr>
      <w:tr>
        <w:tc>
          <w:tcPr>
            <w:tcW w:w="524" w:type="dxa"/>
          </w:tcPr>
          <w:bookmarkStart w:id="8433" w:name="P8433"/>
          <w:bookmarkEnd w:id="8433"/>
          <w:p>
            <w:pPr>
              <w:pStyle w:val="0"/>
              <w:jc w:val="center"/>
            </w:pPr>
            <w:r>
              <w:rPr>
                <w:sz w:val="20"/>
              </w:rPr>
              <w:t xml:space="preserve">1</w:t>
            </w:r>
          </w:p>
        </w:tc>
        <w:tc>
          <w:tcPr>
            <w:tcW w:w="2778" w:type="dxa"/>
          </w:tcPr>
          <w:p>
            <w:pPr>
              <w:pStyle w:val="0"/>
            </w:pPr>
            <w:r>
              <w:rPr>
                <w:sz w:val="20"/>
              </w:rPr>
              <w:t xml:space="preserve">Скорректированные операционные расходы</w:t>
            </w:r>
          </w:p>
        </w:tc>
        <w:tc>
          <w:tcPr>
            <w:tcW w:w="1400" w:type="dxa"/>
          </w:tcPr>
          <w:p>
            <w:pPr>
              <w:pStyle w:val="0"/>
              <w:jc w:val="center"/>
            </w:pPr>
            <w:r>
              <w:rPr>
                <w:sz w:val="20"/>
              </w:rPr>
              <w:t xml:space="preserve">тыс. руб.</w:t>
            </w:r>
          </w:p>
        </w:tc>
        <w:tc>
          <w:tcPr>
            <w:tcW w:w="1434" w:type="dxa"/>
          </w:tcPr>
          <w:p>
            <w:pPr>
              <w:pStyle w:val="0"/>
            </w:pPr>
            <w:r>
              <w:rPr>
                <w:sz w:val="20"/>
              </w:rPr>
            </w:r>
          </w:p>
        </w:tc>
        <w:tc>
          <w:tcPr>
            <w:tcW w:w="1434" w:type="dxa"/>
          </w:tcPr>
          <w:p>
            <w:pPr>
              <w:pStyle w:val="0"/>
            </w:pPr>
            <w:r>
              <w:rPr>
                <w:sz w:val="20"/>
              </w:rPr>
            </w:r>
          </w:p>
        </w:tc>
        <w:tc>
          <w:tcPr>
            <w:tcW w:w="1434" w:type="dxa"/>
          </w:tcPr>
          <w:p>
            <w:pPr>
              <w:pStyle w:val="0"/>
            </w:pPr>
            <w:r>
              <w:rPr>
                <w:sz w:val="20"/>
              </w:rPr>
            </w:r>
          </w:p>
        </w:tc>
        <w:tc>
          <w:tcPr>
            <w:tcW w:w="1284" w:type="dxa"/>
          </w:tcPr>
          <w:p>
            <w:pPr>
              <w:pStyle w:val="0"/>
            </w:pPr>
            <w:r>
              <w:rPr>
                <w:sz w:val="20"/>
              </w:rPr>
            </w:r>
          </w:p>
        </w:tc>
        <w:tc>
          <w:tcPr>
            <w:tcW w:w="1294" w:type="dxa"/>
          </w:tcPr>
          <w:p>
            <w:pPr>
              <w:pStyle w:val="0"/>
            </w:pPr>
            <w:r>
              <w:rPr>
                <w:sz w:val="20"/>
              </w:rPr>
            </w:r>
          </w:p>
        </w:tc>
      </w:tr>
      <w:tr>
        <w:tc>
          <w:tcPr>
            <w:tcW w:w="524" w:type="dxa"/>
          </w:tcPr>
          <w:bookmarkStart w:id="8441" w:name="P8441"/>
          <w:bookmarkEnd w:id="8441"/>
          <w:p>
            <w:pPr>
              <w:pStyle w:val="0"/>
              <w:jc w:val="center"/>
            </w:pPr>
            <w:r>
              <w:rPr>
                <w:sz w:val="20"/>
              </w:rPr>
              <w:t xml:space="preserve">2</w:t>
            </w:r>
          </w:p>
        </w:tc>
        <w:tc>
          <w:tcPr>
            <w:tcW w:w="2778" w:type="dxa"/>
          </w:tcPr>
          <w:p>
            <w:pPr>
              <w:pStyle w:val="0"/>
            </w:pPr>
            <w:r>
              <w:rPr>
                <w:sz w:val="20"/>
              </w:rPr>
              <w:t xml:space="preserve">Фактические операционные расходы</w:t>
            </w:r>
          </w:p>
        </w:tc>
        <w:tc>
          <w:tcPr>
            <w:tcW w:w="1400" w:type="dxa"/>
          </w:tcPr>
          <w:p>
            <w:pPr>
              <w:pStyle w:val="0"/>
              <w:jc w:val="center"/>
            </w:pPr>
            <w:r>
              <w:rPr>
                <w:sz w:val="20"/>
              </w:rPr>
              <w:t xml:space="preserve">тыс. руб.</w:t>
            </w:r>
          </w:p>
        </w:tc>
        <w:tc>
          <w:tcPr>
            <w:tcW w:w="1434" w:type="dxa"/>
          </w:tcPr>
          <w:p>
            <w:pPr>
              <w:pStyle w:val="0"/>
            </w:pPr>
            <w:r>
              <w:rPr>
                <w:sz w:val="20"/>
              </w:rPr>
            </w:r>
          </w:p>
        </w:tc>
        <w:tc>
          <w:tcPr>
            <w:tcW w:w="1434" w:type="dxa"/>
          </w:tcPr>
          <w:p>
            <w:pPr>
              <w:pStyle w:val="0"/>
            </w:pPr>
            <w:r>
              <w:rPr>
                <w:sz w:val="20"/>
              </w:rPr>
            </w:r>
          </w:p>
        </w:tc>
        <w:tc>
          <w:tcPr>
            <w:tcW w:w="1434" w:type="dxa"/>
          </w:tcPr>
          <w:p>
            <w:pPr>
              <w:pStyle w:val="0"/>
            </w:pPr>
            <w:r>
              <w:rPr>
                <w:sz w:val="20"/>
              </w:rPr>
            </w:r>
          </w:p>
        </w:tc>
        <w:tc>
          <w:tcPr>
            <w:tcW w:w="1284" w:type="dxa"/>
          </w:tcPr>
          <w:p>
            <w:pPr>
              <w:pStyle w:val="0"/>
            </w:pPr>
            <w:r>
              <w:rPr>
                <w:sz w:val="20"/>
              </w:rPr>
            </w:r>
          </w:p>
        </w:tc>
        <w:tc>
          <w:tcPr>
            <w:tcW w:w="1294" w:type="dxa"/>
          </w:tcPr>
          <w:p>
            <w:pPr>
              <w:pStyle w:val="0"/>
            </w:pPr>
            <w:r>
              <w:rPr>
                <w:sz w:val="20"/>
              </w:rPr>
            </w:r>
          </w:p>
        </w:tc>
      </w:tr>
      <w:tr>
        <w:tc>
          <w:tcPr>
            <w:tcW w:w="524" w:type="dxa"/>
          </w:tcPr>
          <w:bookmarkStart w:id="8449" w:name="P8449"/>
          <w:bookmarkEnd w:id="8449"/>
          <w:p>
            <w:pPr>
              <w:pStyle w:val="0"/>
              <w:jc w:val="center"/>
            </w:pPr>
            <w:r>
              <w:rPr>
                <w:sz w:val="20"/>
              </w:rPr>
              <w:t xml:space="preserve">3</w:t>
            </w:r>
          </w:p>
        </w:tc>
        <w:tc>
          <w:tcPr>
            <w:tcW w:w="2778" w:type="dxa"/>
          </w:tcPr>
          <w:p>
            <w:pPr>
              <w:pStyle w:val="0"/>
            </w:pPr>
            <w:r>
              <w:rPr>
                <w:sz w:val="20"/>
              </w:rPr>
              <w:t xml:space="preserve">Экономия операционных расходов</w:t>
            </w:r>
          </w:p>
        </w:tc>
        <w:tc>
          <w:tcPr>
            <w:tcW w:w="1400" w:type="dxa"/>
          </w:tcPr>
          <w:p>
            <w:pPr>
              <w:pStyle w:val="0"/>
              <w:jc w:val="center"/>
            </w:pPr>
            <w:r>
              <w:rPr>
                <w:sz w:val="20"/>
              </w:rPr>
              <w:t xml:space="preserve">тыс. руб.</w:t>
            </w:r>
          </w:p>
        </w:tc>
        <w:tc>
          <w:tcPr>
            <w:tcW w:w="1434" w:type="dxa"/>
          </w:tcPr>
          <w:p>
            <w:pPr>
              <w:pStyle w:val="0"/>
            </w:pPr>
            <w:r>
              <w:rPr>
                <w:sz w:val="20"/>
              </w:rPr>
            </w:r>
          </w:p>
        </w:tc>
        <w:tc>
          <w:tcPr>
            <w:tcW w:w="1434" w:type="dxa"/>
          </w:tcPr>
          <w:p>
            <w:pPr>
              <w:pStyle w:val="0"/>
            </w:pPr>
            <w:r>
              <w:rPr>
                <w:sz w:val="20"/>
              </w:rPr>
            </w:r>
          </w:p>
        </w:tc>
        <w:tc>
          <w:tcPr>
            <w:tcW w:w="1434" w:type="dxa"/>
          </w:tcPr>
          <w:p>
            <w:pPr>
              <w:pStyle w:val="0"/>
            </w:pPr>
            <w:r>
              <w:rPr>
                <w:sz w:val="20"/>
              </w:rPr>
            </w:r>
          </w:p>
        </w:tc>
        <w:tc>
          <w:tcPr>
            <w:tcW w:w="1284" w:type="dxa"/>
          </w:tcPr>
          <w:p>
            <w:pPr>
              <w:pStyle w:val="0"/>
            </w:pPr>
            <w:r>
              <w:rPr>
                <w:sz w:val="20"/>
              </w:rPr>
            </w:r>
          </w:p>
        </w:tc>
        <w:tc>
          <w:tcPr>
            <w:tcW w:w="1294" w:type="dxa"/>
          </w:tcPr>
          <w:p>
            <w:pPr>
              <w:pStyle w:val="0"/>
            </w:pPr>
            <w:r>
              <w:rPr>
                <w:sz w:val="20"/>
              </w:rPr>
            </w:r>
          </w:p>
        </w:tc>
      </w:tr>
      <w:tr>
        <w:tc>
          <w:tcPr>
            <w:tcW w:w="524" w:type="dxa"/>
          </w:tcPr>
          <w:bookmarkStart w:id="8457" w:name="P8457"/>
          <w:bookmarkEnd w:id="8457"/>
          <w:p>
            <w:pPr>
              <w:pStyle w:val="0"/>
              <w:jc w:val="center"/>
            </w:pPr>
            <w:r>
              <w:rPr>
                <w:sz w:val="20"/>
              </w:rPr>
              <w:t xml:space="preserve">4</w:t>
            </w:r>
          </w:p>
        </w:tc>
        <w:tc>
          <w:tcPr>
            <w:tcW w:w="2778" w:type="dxa"/>
          </w:tcPr>
          <w:p>
            <w:pPr>
              <w:pStyle w:val="0"/>
            </w:pPr>
            <w:r>
              <w:rPr>
                <w:sz w:val="20"/>
              </w:rPr>
              <w:t xml:space="preserve">Прирост экономии операционных расходов</w:t>
            </w:r>
          </w:p>
        </w:tc>
        <w:tc>
          <w:tcPr>
            <w:tcW w:w="1400" w:type="dxa"/>
          </w:tcPr>
          <w:p>
            <w:pPr>
              <w:pStyle w:val="0"/>
              <w:jc w:val="center"/>
            </w:pPr>
            <w:r>
              <w:rPr>
                <w:sz w:val="20"/>
              </w:rPr>
              <w:t xml:space="preserve">тыс. руб.</w:t>
            </w:r>
          </w:p>
        </w:tc>
        <w:tc>
          <w:tcPr>
            <w:tcW w:w="1434" w:type="dxa"/>
          </w:tcPr>
          <w:p>
            <w:pPr>
              <w:pStyle w:val="0"/>
            </w:pPr>
            <w:r>
              <w:rPr>
                <w:sz w:val="20"/>
              </w:rPr>
            </w:r>
          </w:p>
        </w:tc>
        <w:tc>
          <w:tcPr>
            <w:tcW w:w="1434" w:type="dxa"/>
          </w:tcPr>
          <w:p>
            <w:pPr>
              <w:pStyle w:val="0"/>
            </w:pPr>
            <w:r>
              <w:rPr>
                <w:sz w:val="20"/>
              </w:rPr>
            </w:r>
          </w:p>
        </w:tc>
        <w:tc>
          <w:tcPr>
            <w:tcW w:w="1434" w:type="dxa"/>
          </w:tcPr>
          <w:p>
            <w:pPr>
              <w:pStyle w:val="0"/>
            </w:pPr>
            <w:r>
              <w:rPr>
                <w:sz w:val="20"/>
              </w:rPr>
            </w:r>
          </w:p>
        </w:tc>
        <w:tc>
          <w:tcPr>
            <w:tcW w:w="1284" w:type="dxa"/>
          </w:tcPr>
          <w:p>
            <w:pPr>
              <w:pStyle w:val="0"/>
            </w:pPr>
            <w:r>
              <w:rPr>
                <w:sz w:val="20"/>
              </w:rPr>
            </w:r>
          </w:p>
        </w:tc>
        <w:tc>
          <w:tcPr>
            <w:tcW w:w="1294" w:type="dxa"/>
          </w:tcPr>
          <w:p>
            <w:pPr>
              <w:pStyle w:val="0"/>
            </w:pPr>
            <w:r>
              <w:rPr>
                <w:sz w:val="20"/>
              </w:rPr>
            </w:r>
          </w:p>
        </w:tc>
      </w:tr>
      <w:tr>
        <w:tc>
          <w:tcPr>
            <w:tcW w:w="524" w:type="dxa"/>
          </w:tcPr>
          <w:bookmarkStart w:id="8465" w:name="P8465"/>
          <w:bookmarkEnd w:id="8465"/>
          <w:p>
            <w:pPr>
              <w:pStyle w:val="0"/>
              <w:jc w:val="center"/>
            </w:pPr>
            <w:r>
              <w:rPr>
                <w:sz w:val="20"/>
              </w:rPr>
              <w:t xml:space="preserve">5</w:t>
            </w:r>
          </w:p>
        </w:tc>
        <w:tc>
          <w:tcPr>
            <w:tcW w:w="2778" w:type="dxa"/>
          </w:tcPr>
          <w:p>
            <w:pPr>
              <w:pStyle w:val="0"/>
            </w:pPr>
            <w:r>
              <w:rPr>
                <w:sz w:val="20"/>
              </w:rPr>
              <w:t xml:space="preserve">Индекс потребительских цен</w:t>
            </w:r>
          </w:p>
        </w:tc>
        <w:tc>
          <w:tcPr>
            <w:tcW w:w="1400" w:type="dxa"/>
          </w:tcPr>
          <w:p>
            <w:pPr>
              <w:pStyle w:val="0"/>
            </w:pPr>
            <w:r>
              <w:rPr>
                <w:sz w:val="20"/>
              </w:rPr>
            </w:r>
          </w:p>
        </w:tc>
        <w:tc>
          <w:tcPr>
            <w:tcW w:w="1434" w:type="dxa"/>
          </w:tcPr>
          <w:p>
            <w:pPr>
              <w:pStyle w:val="0"/>
            </w:pPr>
            <w:r>
              <w:rPr>
                <w:sz w:val="20"/>
              </w:rPr>
            </w:r>
          </w:p>
        </w:tc>
        <w:tc>
          <w:tcPr>
            <w:tcW w:w="1434" w:type="dxa"/>
          </w:tcPr>
          <w:p>
            <w:pPr>
              <w:pStyle w:val="0"/>
            </w:pPr>
            <w:r>
              <w:rPr>
                <w:sz w:val="20"/>
              </w:rPr>
            </w:r>
          </w:p>
        </w:tc>
        <w:tc>
          <w:tcPr>
            <w:tcW w:w="1434" w:type="dxa"/>
          </w:tcPr>
          <w:p>
            <w:pPr>
              <w:pStyle w:val="0"/>
            </w:pPr>
            <w:r>
              <w:rPr>
                <w:sz w:val="20"/>
              </w:rPr>
            </w:r>
          </w:p>
        </w:tc>
        <w:tc>
          <w:tcPr>
            <w:tcW w:w="1284" w:type="dxa"/>
          </w:tcPr>
          <w:p>
            <w:pPr>
              <w:pStyle w:val="0"/>
            </w:pPr>
            <w:r>
              <w:rPr>
                <w:sz w:val="20"/>
              </w:rPr>
            </w:r>
          </w:p>
        </w:tc>
        <w:tc>
          <w:tcPr>
            <w:tcW w:w="1294" w:type="dxa"/>
          </w:tcPr>
          <w:p>
            <w:pPr>
              <w:pStyle w:val="0"/>
            </w:pPr>
            <w:r>
              <w:rPr>
                <w:sz w:val="20"/>
              </w:rPr>
            </w:r>
          </w:p>
        </w:tc>
      </w:tr>
      <w:tr>
        <w:tc>
          <w:tcPr>
            <w:tcW w:w="524" w:type="dxa"/>
          </w:tcPr>
          <w:bookmarkStart w:id="8473" w:name="P8473"/>
          <w:bookmarkEnd w:id="8473"/>
          <w:p>
            <w:pPr>
              <w:pStyle w:val="0"/>
              <w:jc w:val="center"/>
            </w:pPr>
            <w:r>
              <w:rPr>
                <w:sz w:val="20"/>
              </w:rPr>
              <w:t xml:space="preserve">6</w:t>
            </w:r>
          </w:p>
        </w:tc>
        <w:tc>
          <w:tcPr>
            <w:tcW w:w="2778" w:type="dxa"/>
          </w:tcPr>
          <w:p>
            <w:pPr>
              <w:pStyle w:val="0"/>
            </w:pPr>
            <w:r>
              <w:rPr>
                <w:sz w:val="20"/>
              </w:rPr>
              <w:t xml:space="preserve">Кумулятивное значение индекса потребительских цен</w:t>
            </w:r>
          </w:p>
        </w:tc>
        <w:tc>
          <w:tcPr>
            <w:tcW w:w="1400" w:type="dxa"/>
          </w:tcPr>
          <w:p>
            <w:pPr>
              <w:pStyle w:val="0"/>
            </w:pPr>
            <w:r>
              <w:rPr>
                <w:sz w:val="20"/>
              </w:rPr>
            </w:r>
          </w:p>
        </w:tc>
        <w:tc>
          <w:tcPr>
            <w:tcW w:w="1434" w:type="dxa"/>
          </w:tcPr>
          <w:p>
            <w:pPr>
              <w:pStyle w:val="0"/>
              <w:jc w:val="center"/>
            </w:pPr>
            <w:r>
              <w:rPr>
                <w:sz w:val="20"/>
              </w:rPr>
              <w:t xml:space="preserve">-</w:t>
            </w:r>
          </w:p>
        </w:tc>
        <w:tc>
          <w:tcPr>
            <w:tcW w:w="1434" w:type="dxa"/>
          </w:tcPr>
          <w:p>
            <w:pPr>
              <w:pStyle w:val="0"/>
            </w:pPr>
            <w:r>
              <w:rPr>
                <w:sz w:val="20"/>
              </w:rPr>
            </w:r>
          </w:p>
        </w:tc>
        <w:tc>
          <w:tcPr>
            <w:tcW w:w="1434" w:type="dxa"/>
          </w:tcPr>
          <w:p>
            <w:pPr>
              <w:pStyle w:val="0"/>
            </w:pPr>
            <w:r>
              <w:rPr>
                <w:sz w:val="20"/>
              </w:rPr>
            </w:r>
          </w:p>
        </w:tc>
        <w:tc>
          <w:tcPr>
            <w:tcW w:w="1284" w:type="dxa"/>
          </w:tcPr>
          <w:p>
            <w:pPr>
              <w:pStyle w:val="0"/>
            </w:pPr>
            <w:r>
              <w:rPr>
                <w:sz w:val="20"/>
              </w:rPr>
            </w:r>
          </w:p>
        </w:tc>
        <w:tc>
          <w:tcPr>
            <w:tcW w:w="1294" w:type="dxa"/>
          </w:tcPr>
          <w:p>
            <w:pPr>
              <w:pStyle w:val="0"/>
              <w:jc w:val="center"/>
            </w:pPr>
            <w:r>
              <w:rPr>
                <w:sz w:val="20"/>
              </w:rPr>
              <w:t xml:space="preserve">-</w:t>
            </w:r>
          </w:p>
        </w:tc>
      </w:tr>
      <w:tr>
        <w:tc>
          <w:tcPr>
            <w:tcW w:w="524" w:type="dxa"/>
          </w:tcPr>
          <w:bookmarkStart w:id="8481" w:name="P8481"/>
          <w:bookmarkEnd w:id="8481"/>
          <w:p>
            <w:pPr>
              <w:pStyle w:val="0"/>
              <w:jc w:val="center"/>
            </w:pPr>
            <w:r>
              <w:rPr>
                <w:sz w:val="20"/>
              </w:rPr>
              <w:t xml:space="preserve">7</w:t>
            </w:r>
          </w:p>
        </w:tc>
        <w:tc>
          <w:tcPr>
            <w:tcW w:w="2778" w:type="dxa"/>
          </w:tcPr>
          <w:p>
            <w:pPr>
              <w:pStyle w:val="0"/>
            </w:pPr>
            <w:r>
              <w:rPr>
                <w:sz w:val="20"/>
              </w:rPr>
              <w:t xml:space="preserve">Прирост экономии операционных расходов в ценах года i1</w:t>
            </w:r>
          </w:p>
        </w:tc>
        <w:tc>
          <w:tcPr>
            <w:tcW w:w="1400" w:type="dxa"/>
          </w:tcPr>
          <w:p>
            <w:pPr>
              <w:pStyle w:val="0"/>
            </w:pPr>
            <w:r>
              <w:rPr>
                <w:sz w:val="20"/>
              </w:rPr>
            </w:r>
          </w:p>
        </w:tc>
        <w:tc>
          <w:tcPr>
            <w:tcW w:w="1434" w:type="dxa"/>
          </w:tcPr>
          <w:p>
            <w:pPr>
              <w:pStyle w:val="0"/>
              <w:jc w:val="center"/>
            </w:pPr>
            <w:r>
              <w:rPr>
                <w:sz w:val="20"/>
              </w:rPr>
              <w:t xml:space="preserve">-</w:t>
            </w:r>
          </w:p>
        </w:tc>
        <w:tc>
          <w:tcPr>
            <w:tcW w:w="1434" w:type="dxa"/>
          </w:tcPr>
          <w:p>
            <w:pPr>
              <w:pStyle w:val="0"/>
            </w:pPr>
            <w:r>
              <w:rPr>
                <w:sz w:val="20"/>
              </w:rPr>
            </w:r>
          </w:p>
        </w:tc>
        <w:tc>
          <w:tcPr>
            <w:tcW w:w="1434" w:type="dxa"/>
          </w:tcPr>
          <w:p>
            <w:pPr>
              <w:pStyle w:val="0"/>
            </w:pPr>
            <w:r>
              <w:rPr>
                <w:sz w:val="20"/>
              </w:rPr>
            </w:r>
          </w:p>
        </w:tc>
        <w:tc>
          <w:tcPr>
            <w:tcW w:w="1284" w:type="dxa"/>
          </w:tcPr>
          <w:p>
            <w:pPr>
              <w:pStyle w:val="0"/>
            </w:pPr>
            <w:r>
              <w:rPr>
                <w:sz w:val="20"/>
              </w:rPr>
            </w:r>
          </w:p>
        </w:tc>
        <w:tc>
          <w:tcPr>
            <w:tcW w:w="1294" w:type="dxa"/>
          </w:tcPr>
          <w:p>
            <w:pPr>
              <w:pStyle w:val="0"/>
            </w:pPr>
            <w:r>
              <w:rPr>
                <w:sz w:val="20"/>
              </w:rPr>
            </w:r>
          </w:p>
        </w:tc>
      </w:tr>
      <w:tr>
        <w:tc>
          <w:tcPr>
            <w:tcW w:w="524" w:type="dxa"/>
          </w:tcPr>
          <w:bookmarkStart w:id="8489" w:name="P8489"/>
          <w:bookmarkEnd w:id="8489"/>
          <w:p>
            <w:pPr>
              <w:pStyle w:val="0"/>
              <w:jc w:val="center"/>
            </w:pPr>
            <w:r>
              <w:rPr>
                <w:sz w:val="20"/>
              </w:rPr>
              <w:t xml:space="preserve">8</w:t>
            </w:r>
          </w:p>
        </w:tc>
        <w:tc>
          <w:tcPr>
            <w:tcW w:w="2778" w:type="dxa"/>
          </w:tcPr>
          <w:p>
            <w:pPr>
              <w:pStyle w:val="0"/>
            </w:pPr>
            <w:r>
              <w:rPr>
                <w:sz w:val="20"/>
              </w:rPr>
              <w:t xml:space="preserve">Экономия операционных расходов, учитываемая в очередном долгосрочном периоде регулирования</w:t>
            </w:r>
          </w:p>
        </w:tc>
        <w:tc>
          <w:tcPr>
            <w:tcW w:w="1400" w:type="dxa"/>
          </w:tcPr>
          <w:p>
            <w:pPr>
              <w:pStyle w:val="0"/>
              <w:jc w:val="center"/>
            </w:pPr>
            <w:r>
              <w:rPr>
                <w:sz w:val="20"/>
              </w:rPr>
              <w:t xml:space="preserve">тыс. руб.</w:t>
            </w:r>
          </w:p>
        </w:tc>
        <w:tc>
          <w:tcPr>
            <w:tcW w:w="1434" w:type="dxa"/>
          </w:tcPr>
          <w:p>
            <w:pPr>
              <w:pStyle w:val="0"/>
              <w:jc w:val="center"/>
            </w:pPr>
            <w:r>
              <w:rPr>
                <w:sz w:val="20"/>
              </w:rPr>
              <w:t xml:space="preserve">-</w:t>
            </w:r>
          </w:p>
        </w:tc>
        <w:tc>
          <w:tcPr>
            <w:tcW w:w="1434" w:type="dxa"/>
          </w:tcPr>
          <w:p>
            <w:pPr>
              <w:pStyle w:val="0"/>
              <w:jc w:val="center"/>
            </w:pPr>
            <w:r>
              <w:rPr>
                <w:sz w:val="20"/>
              </w:rPr>
              <w:t xml:space="preserve">-</w:t>
            </w:r>
          </w:p>
        </w:tc>
        <w:tc>
          <w:tcPr>
            <w:tcW w:w="1434" w:type="dxa"/>
          </w:tcPr>
          <w:p>
            <w:pPr>
              <w:pStyle w:val="0"/>
              <w:jc w:val="center"/>
            </w:pPr>
            <w:r>
              <w:rPr>
                <w:sz w:val="20"/>
              </w:rPr>
              <w:t xml:space="preserve">-</w:t>
            </w:r>
          </w:p>
        </w:tc>
        <w:tc>
          <w:tcPr>
            <w:tcW w:w="1284" w:type="dxa"/>
          </w:tcPr>
          <w:p>
            <w:pPr>
              <w:pStyle w:val="0"/>
              <w:jc w:val="center"/>
            </w:pPr>
            <w:r>
              <w:rPr>
                <w:sz w:val="20"/>
              </w:rPr>
              <w:t xml:space="preserve">-</w:t>
            </w:r>
          </w:p>
        </w:tc>
        <w:tc>
          <w:tcPr>
            <w:tcW w:w="1294" w:type="dxa"/>
          </w:tcPr>
          <w:p>
            <w:pPr>
              <w:pStyle w:val="0"/>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Приложение заполняется за предшествующий долгосрочный период регулирования.</w:t>
      </w:r>
    </w:p>
    <w:p>
      <w:pPr>
        <w:pStyle w:val="0"/>
        <w:spacing w:before="200" w:lineRule="auto"/>
        <w:ind w:firstLine="540"/>
        <w:jc w:val="both"/>
      </w:pPr>
      <w:r>
        <w:rPr>
          <w:sz w:val="20"/>
        </w:rPr>
        <w:t xml:space="preserve">2. i1 - последний год текущего долгосрочного периода регулирования.</w:t>
      </w:r>
    </w:p>
    <w:p>
      <w:pPr>
        <w:pStyle w:val="0"/>
        <w:spacing w:before="200" w:lineRule="auto"/>
        <w:ind w:firstLine="540"/>
        <w:jc w:val="both"/>
      </w:pPr>
      <w:r>
        <w:rPr>
          <w:sz w:val="20"/>
        </w:rPr>
        <w:t xml:space="preserve">3. </w:t>
      </w:r>
      <w:hyperlink w:history="0" w:anchor="P8449" w:tooltip="3">
        <w:r>
          <w:rPr>
            <w:sz w:val="20"/>
            <w:color w:val="0000ff"/>
          </w:rPr>
          <w:t xml:space="preserve">Стр. 3</w:t>
        </w:r>
      </w:hyperlink>
      <w:r>
        <w:rPr>
          <w:sz w:val="20"/>
        </w:rPr>
        <w:t xml:space="preserve"> = </w:t>
      </w:r>
      <w:hyperlink w:history="0" w:anchor="P8433" w:tooltip="1">
        <w:r>
          <w:rPr>
            <w:sz w:val="20"/>
            <w:color w:val="0000ff"/>
          </w:rPr>
          <w:t xml:space="preserve">стр. 1</w:t>
        </w:r>
      </w:hyperlink>
      <w:r>
        <w:rPr>
          <w:sz w:val="20"/>
        </w:rPr>
        <w:t xml:space="preserve"> - </w:t>
      </w:r>
      <w:hyperlink w:history="0" w:anchor="P8441" w:tooltip="2">
        <w:r>
          <w:rPr>
            <w:sz w:val="20"/>
            <w:color w:val="0000ff"/>
          </w:rPr>
          <w:t xml:space="preserve">стр. 2</w:t>
        </w:r>
      </w:hyperlink>
      <w:r>
        <w:rPr>
          <w:sz w:val="20"/>
        </w:rPr>
        <w:t xml:space="preserve">.</w:t>
      </w:r>
    </w:p>
    <w:p>
      <w:pPr>
        <w:pStyle w:val="0"/>
        <w:spacing w:before="200" w:lineRule="auto"/>
        <w:ind w:firstLine="540"/>
        <w:jc w:val="both"/>
      </w:pPr>
      <w:r>
        <w:rPr>
          <w:sz w:val="20"/>
        </w:rPr>
        <w:t xml:space="preserve">4. В </w:t>
      </w:r>
      <w:hyperlink w:history="0" w:anchor="P8457" w:tooltip="4">
        <w:r>
          <w:rPr>
            <w:sz w:val="20"/>
            <w:color w:val="0000ff"/>
          </w:rPr>
          <w:t xml:space="preserve">строке 4</w:t>
        </w:r>
      </w:hyperlink>
      <w:r>
        <w:rPr>
          <w:sz w:val="20"/>
        </w:rPr>
        <w:t xml:space="preserve">: гр. 3 = гр. 3 </w:t>
      </w:r>
      <w:hyperlink w:history="0" w:anchor="P8449" w:tooltip="3">
        <w:r>
          <w:rPr>
            <w:sz w:val="20"/>
            <w:color w:val="0000ff"/>
          </w:rPr>
          <w:t xml:space="preserve">стр. 3</w:t>
        </w:r>
      </w:hyperlink>
      <w:r>
        <w:rPr>
          <w:sz w:val="20"/>
        </w:rPr>
        <w:t xml:space="preserve">;</w:t>
      </w:r>
    </w:p>
    <w:p>
      <w:pPr>
        <w:pStyle w:val="0"/>
        <w:spacing w:before="200" w:lineRule="auto"/>
        <w:ind w:firstLine="540"/>
        <w:jc w:val="both"/>
      </w:pPr>
      <w:r>
        <w:rPr>
          <w:sz w:val="20"/>
        </w:rPr>
        <w:t xml:space="preserve">гр. 4 = гр. 4 </w:t>
      </w:r>
      <w:hyperlink w:history="0" w:anchor="P8449" w:tooltip="3">
        <w:r>
          <w:rPr>
            <w:sz w:val="20"/>
            <w:color w:val="0000ff"/>
          </w:rPr>
          <w:t xml:space="preserve">стр. 3</w:t>
        </w:r>
      </w:hyperlink>
      <w:r>
        <w:rPr>
          <w:sz w:val="20"/>
        </w:rPr>
        <w:t xml:space="preserve"> - гр. 3 </w:t>
      </w:r>
      <w:hyperlink w:history="0" w:anchor="P8449" w:tooltip="3">
        <w:r>
          <w:rPr>
            <w:sz w:val="20"/>
            <w:color w:val="0000ff"/>
          </w:rPr>
          <w:t xml:space="preserve">стр. 3</w:t>
        </w:r>
      </w:hyperlink>
      <w:r>
        <w:rPr>
          <w:sz w:val="20"/>
        </w:rPr>
        <w:t xml:space="preserve"> * (1 + гр. 4 </w:t>
      </w:r>
      <w:hyperlink w:history="0" w:anchor="P8465"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гр. 5 = гр. 5 </w:t>
      </w:r>
      <w:hyperlink w:history="0" w:anchor="P8449" w:tooltip="3">
        <w:r>
          <w:rPr>
            <w:sz w:val="20"/>
            <w:color w:val="0000ff"/>
          </w:rPr>
          <w:t xml:space="preserve">стр. 3</w:t>
        </w:r>
      </w:hyperlink>
      <w:r>
        <w:rPr>
          <w:sz w:val="20"/>
        </w:rPr>
        <w:t xml:space="preserve"> - гр. 4 </w:t>
      </w:r>
      <w:hyperlink w:history="0" w:anchor="P8449" w:tooltip="3">
        <w:r>
          <w:rPr>
            <w:sz w:val="20"/>
            <w:color w:val="0000ff"/>
          </w:rPr>
          <w:t xml:space="preserve">стр. 3</w:t>
        </w:r>
      </w:hyperlink>
      <w:r>
        <w:rPr>
          <w:sz w:val="20"/>
        </w:rPr>
        <w:t xml:space="preserve"> * (1 + гр. 5 </w:t>
      </w:r>
      <w:hyperlink w:history="0" w:anchor="P8465"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гр. 6 = гр. 6 </w:t>
      </w:r>
      <w:hyperlink w:history="0" w:anchor="P8449" w:tooltip="3">
        <w:r>
          <w:rPr>
            <w:sz w:val="20"/>
            <w:color w:val="0000ff"/>
          </w:rPr>
          <w:t xml:space="preserve">стр. 3</w:t>
        </w:r>
      </w:hyperlink>
      <w:r>
        <w:rPr>
          <w:sz w:val="20"/>
        </w:rPr>
        <w:t xml:space="preserve"> - гр. 5 </w:t>
      </w:r>
      <w:hyperlink w:history="0" w:anchor="P8449" w:tooltip="3">
        <w:r>
          <w:rPr>
            <w:sz w:val="20"/>
            <w:color w:val="0000ff"/>
          </w:rPr>
          <w:t xml:space="preserve">стр. 3</w:t>
        </w:r>
      </w:hyperlink>
      <w:r>
        <w:rPr>
          <w:sz w:val="20"/>
        </w:rPr>
        <w:t xml:space="preserve"> * (1 + гр. 6 </w:t>
      </w:r>
      <w:hyperlink w:history="0" w:anchor="P8465"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гр. 7 = гр. 7 </w:t>
      </w:r>
      <w:hyperlink w:history="0" w:anchor="P8449" w:tooltip="3">
        <w:r>
          <w:rPr>
            <w:sz w:val="20"/>
            <w:color w:val="0000ff"/>
          </w:rPr>
          <w:t xml:space="preserve">стр. 3</w:t>
        </w:r>
      </w:hyperlink>
      <w:r>
        <w:rPr>
          <w:sz w:val="20"/>
        </w:rPr>
        <w:t xml:space="preserve"> - гр. 6 </w:t>
      </w:r>
      <w:hyperlink w:history="0" w:anchor="P8449" w:tooltip="3">
        <w:r>
          <w:rPr>
            <w:sz w:val="20"/>
            <w:color w:val="0000ff"/>
          </w:rPr>
          <w:t xml:space="preserve">стр. 3</w:t>
        </w:r>
      </w:hyperlink>
      <w:r>
        <w:rPr>
          <w:sz w:val="20"/>
        </w:rPr>
        <w:t xml:space="preserve"> * (1 + гр. 7 </w:t>
      </w:r>
      <w:hyperlink w:history="0" w:anchor="P8465"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5. В </w:t>
      </w:r>
      <w:hyperlink w:history="0" w:anchor="P8473" w:tooltip="6">
        <w:r>
          <w:rPr>
            <w:sz w:val="20"/>
            <w:color w:val="0000ff"/>
          </w:rPr>
          <w:t xml:space="preserve">строке 6</w:t>
        </w:r>
      </w:hyperlink>
      <w:r>
        <w:rPr>
          <w:sz w:val="20"/>
        </w:rPr>
        <w:t xml:space="preserve">: гр. 4 = (1 + гр. 5 </w:t>
      </w:r>
      <w:hyperlink w:history="0" w:anchor="P8465" w:tooltip="5">
        <w:r>
          <w:rPr>
            <w:sz w:val="20"/>
            <w:color w:val="0000ff"/>
          </w:rPr>
          <w:t xml:space="preserve">стр. 5</w:t>
        </w:r>
      </w:hyperlink>
      <w:r>
        <w:rPr>
          <w:sz w:val="20"/>
        </w:rPr>
        <w:t xml:space="preserve">) * (1 + гр. 6 </w:t>
      </w:r>
      <w:hyperlink w:history="0" w:anchor="P8465" w:tooltip="5">
        <w:r>
          <w:rPr>
            <w:sz w:val="20"/>
            <w:color w:val="0000ff"/>
          </w:rPr>
          <w:t xml:space="preserve">стр. 5</w:t>
        </w:r>
      </w:hyperlink>
      <w:r>
        <w:rPr>
          <w:sz w:val="20"/>
        </w:rPr>
        <w:t xml:space="preserve">) * (1 + гр. 7 </w:t>
      </w:r>
      <w:hyperlink w:history="0" w:anchor="P8465"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гр. 5 = (1 + гр. 6 </w:t>
      </w:r>
      <w:hyperlink w:history="0" w:anchor="P8465" w:tooltip="5">
        <w:r>
          <w:rPr>
            <w:sz w:val="20"/>
            <w:color w:val="0000ff"/>
          </w:rPr>
          <w:t xml:space="preserve">стр. 5</w:t>
        </w:r>
      </w:hyperlink>
      <w:r>
        <w:rPr>
          <w:sz w:val="20"/>
        </w:rPr>
        <w:t xml:space="preserve">) * (1 + гр. 7 </w:t>
      </w:r>
      <w:hyperlink w:history="0" w:anchor="P8465"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гр. 6 = (1 + гр. 7 </w:t>
      </w:r>
      <w:hyperlink w:history="0" w:anchor="P8465"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6. В </w:t>
      </w:r>
      <w:hyperlink w:history="0" w:anchor="P8481" w:tooltip="7">
        <w:r>
          <w:rPr>
            <w:sz w:val="20"/>
            <w:color w:val="0000ff"/>
          </w:rPr>
          <w:t xml:space="preserve">строке 7</w:t>
        </w:r>
      </w:hyperlink>
      <w:r>
        <w:rPr>
          <w:sz w:val="20"/>
        </w:rPr>
        <w:t xml:space="preserve">: гр. </w:t>
      </w:r>
      <w:hyperlink w:history="0" w:anchor="P8481" w:tooltip="7">
        <w:r>
          <w:rPr>
            <w:sz w:val="20"/>
            <w:color w:val="0000ff"/>
          </w:rPr>
          <w:t xml:space="preserve">стр. 7</w:t>
        </w:r>
      </w:hyperlink>
      <w:r>
        <w:rPr>
          <w:sz w:val="20"/>
        </w:rPr>
        <w:t xml:space="preserve"> = гр. </w:t>
      </w:r>
      <w:hyperlink w:history="0" w:anchor="P8457" w:tooltip="4">
        <w:r>
          <w:rPr>
            <w:sz w:val="20"/>
            <w:color w:val="0000ff"/>
          </w:rPr>
          <w:t xml:space="preserve">стр. 4</w:t>
        </w:r>
      </w:hyperlink>
      <w:r>
        <w:rPr>
          <w:sz w:val="20"/>
        </w:rPr>
        <w:t xml:space="preserve"> * гр. </w:t>
      </w:r>
      <w:hyperlink w:history="0" w:anchor="P8473" w:tooltip="6">
        <w:r>
          <w:rPr>
            <w:sz w:val="20"/>
            <w:color w:val="0000ff"/>
          </w:rPr>
          <w:t xml:space="preserve">стр. 6</w:t>
        </w:r>
      </w:hyperlink>
      <w:r>
        <w:rPr>
          <w:sz w:val="20"/>
        </w:rPr>
        <w:t xml:space="preserve">, кроме гр. 7</w:t>
      </w:r>
    </w:p>
    <w:p>
      <w:pPr>
        <w:pStyle w:val="0"/>
        <w:spacing w:before="200" w:lineRule="auto"/>
        <w:ind w:firstLine="540"/>
        <w:jc w:val="both"/>
      </w:pPr>
      <w:r>
        <w:rPr>
          <w:sz w:val="20"/>
        </w:rPr>
        <w:t xml:space="preserve">гр. 7 </w:t>
      </w:r>
      <w:hyperlink w:history="0" w:anchor="P8481" w:tooltip="7">
        <w:r>
          <w:rPr>
            <w:sz w:val="20"/>
            <w:color w:val="0000ff"/>
          </w:rPr>
          <w:t xml:space="preserve">стр. 7</w:t>
        </w:r>
      </w:hyperlink>
      <w:r>
        <w:rPr>
          <w:sz w:val="20"/>
        </w:rPr>
        <w:t xml:space="preserve"> = гр. </w:t>
      </w:r>
      <w:hyperlink w:history="0" w:anchor="P8457" w:tooltip="4">
        <w:r>
          <w:rPr>
            <w:sz w:val="20"/>
            <w:color w:val="0000ff"/>
          </w:rPr>
          <w:t xml:space="preserve">стр. 4</w:t>
        </w:r>
      </w:hyperlink>
      <w:r>
        <w:rPr>
          <w:sz w:val="20"/>
        </w:rPr>
        <w:t xml:space="preserve">.</w:t>
      </w:r>
    </w:p>
    <w:p>
      <w:pPr>
        <w:pStyle w:val="0"/>
        <w:spacing w:before="200" w:lineRule="auto"/>
        <w:ind w:firstLine="540"/>
        <w:jc w:val="both"/>
      </w:pPr>
      <w:r>
        <w:rPr>
          <w:sz w:val="20"/>
        </w:rPr>
        <w:t xml:space="preserve">7. </w:t>
      </w:r>
      <w:hyperlink w:history="0" w:anchor="P8489" w:tooltip="8">
        <w:r>
          <w:rPr>
            <w:sz w:val="20"/>
            <w:color w:val="0000ff"/>
          </w:rPr>
          <w:t xml:space="preserve">Строка 8</w:t>
        </w:r>
      </w:hyperlink>
      <w:r>
        <w:rPr>
          <w:sz w:val="20"/>
        </w:rPr>
        <w:t xml:space="preserve"> заполняется только в графе 8.</w:t>
      </w:r>
    </w:p>
    <w:p>
      <w:pPr>
        <w:pStyle w:val="0"/>
        <w:spacing w:before="200" w:lineRule="auto"/>
        <w:ind w:firstLine="540"/>
        <w:jc w:val="both"/>
      </w:pPr>
      <w:r>
        <w:rPr>
          <w:sz w:val="20"/>
        </w:rPr>
        <w:t xml:space="preserve">Если предшествующий долгосрочный период регулирования составляет 3 года:</w:t>
      </w:r>
    </w:p>
    <w:p>
      <w:pPr>
        <w:pStyle w:val="0"/>
        <w:spacing w:before="200" w:lineRule="auto"/>
        <w:ind w:firstLine="540"/>
        <w:jc w:val="both"/>
      </w:pPr>
      <w:r>
        <w:rPr>
          <w:position w:val="-9"/>
        </w:rPr>
        <w:drawing>
          <wp:inline distT="0" distB="0" distL="0" distR="0">
            <wp:extent cx="33020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a:extLst>
                        <a:ext uri="{28A0092B-C50C-407E-A947-70E740481C1C}">
                          <a14:useLocalDpi xmlns:a14="http://schemas.microsoft.com/office/drawing/2010/main" val="0"/>
                        </a:ext>
                      </a:extLst>
                    </a:blip>
                    <a:srcRect/>
                    <a:stretch>
                      <a:fillRect/>
                    </a:stretch>
                  </pic:blipFill>
                  <pic:spPr bwMode="auto">
                    <a:xfrm>
                      <a:off x="0" y="0"/>
                      <a:ext cx="3302000" cy="253365"/>
                    </a:xfrm>
                    <a:prstGeom prst="rect">
                      <a:avLst/>
                    </a:prstGeom>
                    <a:noFill/>
                    <a:ln>
                      <a:noFill/>
                    </a:ln>
                  </pic:spPr>
                </pic:pic>
              </a:graphicData>
            </a:graphic>
          </wp:inline>
        </w:drawing>
      </w:r>
    </w:p>
    <w:p>
      <w:pPr>
        <w:pStyle w:val="0"/>
        <w:spacing w:before="200" w:lineRule="auto"/>
        <w:ind w:firstLine="540"/>
        <w:jc w:val="both"/>
      </w:pPr>
      <w:r>
        <w:rPr>
          <w:sz w:val="20"/>
        </w:rPr>
        <w:t xml:space="preserve">Если предшествующий долгосрочный период регулирования составляет более 3 лет:</w:t>
      </w:r>
    </w:p>
    <w:p>
      <w:pPr>
        <w:pStyle w:val="0"/>
        <w:spacing w:before="200" w:lineRule="auto"/>
        <w:ind w:firstLine="540"/>
        <w:jc w:val="both"/>
      </w:pPr>
      <w:r>
        <w:rPr>
          <w:position w:val="-9"/>
        </w:rPr>
        <w:drawing>
          <wp:inline distT="0" distB="0" distL="0" distR="0">
            <wp:extent cx="38735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a:extLst>
                        <a:ext uri="{28A0092B-C50C-407E-A947-70E740481C1C}">
                          <a14:useLocalDpi xmlns:a14="http://schemas.microsoft.com/office/drawing/2010/main" val="0"/>
                        </a:ext>
                      </a:extLst>
                    </a:blip>
                    <a:srcRect/>
                    <a:stretch>
                      <a:fillRect/>
                    </a:stretch>
                  </pic:blipFill>
                  <pic:spPr bwMode="auto">
                    <a:xfrm>
                      <a:off x="0" y="0"/>
                      <a:ext cx="3873500" cy="253365"/>
                    </a:xfrm>
                    <a:prstGeom prst="rect">
                      <a:avLst/>
                    </a:prstGeom>
                    <a:noFill/>
                    <a:ln>
                      <a:noFill/>
                    </a:ln>
                  </pic:spPr>
                </pic:pic>
              </a:graphicData>
            </a:graphic>
          </wp:inline>
        </w:drawing>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6.7</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bookmarkStart w:id="8527" w:name="P8527"/>
    <w:bookmarkEnd w:id="8527"/>
    <w:p>
      <w:pPr>
        <w:pStyle w:val="0"/>
        <w:jc w:val="center"/>
      </w:pPr>
      <w:r>
        <w:rPr>
          <w:sz w:val="20"/>
        </w:rPr>
        <w:t xml:space="preserve">Расчет</w:t>
      </w:r>
    </w:p>
    <w:p>
      <w:pPr>
        <w:pStyle w:val="0"/>
        <w:jc w:val="center"/>
      </w:pPr>
      <w:r>
        <w:rPr>
          <w:sz w:val="20"/>
        </w:rPr>
        <w:t xml:space="preserve">экономии от снижения потребления электрической энергии</w:t>
      </w:r>
    </w:p>
    <w:p>
      <w:pPr>
        <w:pStyle w:val="0"/>
        <w:jc w:val="center"/>
      </w:pPr>
      <w:r>
        <w:rPr>
          <w:sz w:val="20"/>
        </w:rPr>
        <w:t xml:space="preserve">(мощности), учитываемой в очередном долгосрочном</w:t>
      </w:r>
    </w:p>
    <w:p>
      <w:pPr>
        <w:pStyle w:val="0"/>
        <w:jc w:val="center"/>
      </w:pPr>
      <w:r>
        <w:rPr>
          <w:sz w:val="20"/>
        </w:rPr>
        <w:t xml:space="preserve">периоде регулирования</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3498"/>
        <w:gridCol w:w="1440"/>
        <w:gridCol w:w="1152"/>
        <w:gridCol w:w="1152"/>
        <w:gridCol w:w="1152"/>
        <w:gridCol w:w="1152"/>
        <w:gridCol w:w="1152"/>
      </w:tblGrid>
      <w:tr>
        <w:tc>
          <w:tcPr>
            <w:tcW w:w="524" w:type="dxa"/>
          </w:tcPr>
          <w:p>
            <w:pPr>
              <w:pStyle w:val="0"/>
              <w:jc w:val="center"/>
            </w:pPr>
            <w:r>
              <w:rPr>
                <w:sz w:val="20"/>
              </w:rPr>
              <w:t xml:space="preserve">N п/п</w:t>
            </w:r>
          </w:p>
        </w:tc>
        <w:tc>
          <w:tcPr>
            <w:tcW w:w="3498" w:type="dxa"/>
          </w:tcPr>
          <w:p>
            <w:pPr>
              <w:pStyle w:val="0"/>
              <w:jc w:val="center"/>
            </w:pPr>
            <w:r>
              <w:rPr>
                <w:sz w:val="20"/>
              </w:rPr>
              <w:t xml:space="preserve">Показатели</w:t>
            </w:r>
          </w:p>
        </w:tc>
        <w:tc>
          <w:tcPr>
            <w:tcW w:w="1440" w:type="dxa"/>
          </w:tcPr>
          <w:p>
            <w:pPr>
              <w:pStyle w:val="0"/>
              <w:jc w:val="center"/>
            </w:pPr>
            <w:r>
              <w:rPr>
                <w:sz w:val="20"/>
              </w:rPr>
              <w:t xml:space="preserve">Единица измерения</w:t>
            </w:r>
          </w:p>
        </w:tc>
        <w:tc>
          <w:tcPr>
            <w:tcW w:w="1152" w:type="dxa"/>
          </w:tcPr>
          <w:p>
            <w:pPr>
              <w:pStyle w:val="0"/>
              <w:jc w:val="center"/>
            </w:pPr>
            <w:r>
              <w:rPr>
                <w:sz w:val="20"/>
              </w:rPr>
              <w:t xml:space="preserve">Истекший год (i1-4)</w:t>
            </w:r>
          </w:p>
        </w:tc>
        <w:tc>
          <w:tcPr>
            <w:tcW w:w="1152" w:type="dxa"/>
          </w:tcPr>
          <w:p>
            <w:pPr>
              <w:pStyle w:val="0"/>
              <w:jc w:val="center"/>
            </w:pPr>
            <w:r>
              <w:rPr>
                <w:sz w:val="20"/>
              </w:rPr>
              <w:t xml:space="preserve">Истекший год (i-3)</w:t>
            </w:r>
          </w:p>
        </w:tc>
        <w:tc>
          <w:tcPr>
            <w:tcW w:w="1152" w:type="dxa"/>
          </w:tcPr>
          <w:p>
            <w:pPr>
              <w:pStyle w:val="0"/>
              <w:jc w:val="center"/>
            </w:pPr>
            <w:r>
              <w:rPr>
                <w:sz w:val="20"/>
              </w:rPr>
              <w:t xml:space="preserve">Истекший год (i-2)</w:t>
            </w:r>
          </w:p>
        </w:tc>
        <w:tc>
          <w:tcPr>
            <w:tcW w:w="1152" w:type="dxa"/>
          </w:tcPr>
          <w:p>
            <w:pPr>
              <w:pStyle w:val="0"/>
              <w:jc w:val="center"/>
            </w:pPr>
            <w:r>
              <w:rPr>
                <w:sz w:val="20"/>
              </w:rPr>
              <w:t xml:space="preserve">Текущий год (i1-1)</w:t>
            </w:r>
          </w:p>
        </w:tc>
        <w:tc>
          <w:tcPr>
            <w:tcW w:w="1152" w:type="dxa"/>
          </w:tcPr>
          <w:p>
            <w:pPr>
              <w:pStyle w:val="0"/>
              <w:jc w:val="center"/>
            </w:pPr>
            <w:r>
              <w:rPr>
                <w:sz w:val="20"/>
              </w:rPr>
              <w:t xml:space="preserve">Год i1</w:t>
            </w:r>
          </w:p>
        </w:tc>
      </w:tr>
      <w:tr>
        <w:tc>
          <w:tcPr>
            <w:tcW w:w="524" w:type="dxa"/>
          </w:tcPr>
          <w:p>
            <w:pPr>
              <w:pStyle w:val="0"/>
              <w:jc w:val="center"/>
            </w:pPr>
            <w:r>
              <w:rPr>
                <w:sz w:val="20"/>
              </w:rPr>
              <w:t xml:space="preserve">1</w:t>
            </w:r>
          </w:p>
        </w:tc>
        <w:tc>
          <w:tcPr>
            <w:tcW w:w="3498" w:type="dxa"/>
          </w:tcPr>
          <w:p>
            <w:pPr>
              <w:pStyle w:val="0"/>
              <w:jc w:val="center"/>
            </w:pPr>
            <w:r>
              <w:rPr>
                <w:sz w:val="20"/>
              </w:rPr>
              <w:t xml:space="preserve">2</w:t>
            </w:r>
          </w:p>
        </w:tc>
        <w:tc>
          <w:tcPr>
            <w:tcW w:w="1440" w:type="dxa"/>
          </w:tcPr>
          <w:p>
            <w:pPr>
              <w:pStyle w:val="0"/>
              <w:jc w:val="center"/>
            </w:pPr>
            <w:r>
              <w:rPr>
                <w:sz w:val="20"/>
              </w:rPr>
              <w:t xml:space="preserve">3</w:t>
            </w:r>
          </w:p>
        </w:tc>
        <w:tc>
          <w:tcPr>
            <w:tcW w:w="1152" w:type="dxa"/>
          </w:tcPr>
          <w:p>
            <w:pPr>
              <w:pStyle w:val="0"/>
              <w:jc w:val="center"/>
            </w:pPr>
            <w:r>
              <w:rPr>
                <w:sz w:val="20"/>
              </w:rPr>
              <w:t xml:space="preserve">4</w:t>
            </w:r>
          </w:p>
        </w:tc>
        <w:tc>
          <w:tcPr>
            <w:tcW w:w="1152" w:type="dxa"/>
          </w:tcPr>
          <w:p>
            <w:pPr>
              <w:pStyle w:val="0"/>
              <w:jc w:val="center"/>
            </w:pPr>
            <w:r>
              <w:rPr>
                <w:sz w:val="20"/>
              </w:rPr>
              <w:t xml:space="preserve">5</w:t>
            </w:r>
          </w:p>
        </w:tc>
        <w:tc>
          <w:tcPr>
            <w:tcW w:w="1152" w:type="dxa"/>
          </w:tcPr>
          <w:p>
            <w:pPr>
              <w:pStyle w:val="0"/>
              <w:jc w:val="center"/>
            </w:pPr>
            <w:r>
              <w:rPr>
                <w:sz w:val="20"/>
              </w:rPr>
              <w:t xml:space="preserve">6</w:t>
            </w:r>
          </w:p>
        </w:tc>
        <w:tc>
          <w:tcPr>
            <w:tcW w:w="1152" w:type="dxa"/>
          </w:tcPr>
          <w:p>
            <w:pPr>
              <w:pStyle w:val="0"/>
              <w:jc w:val="center"/>
            </w:pPr>
            <w:r>
              <w:rPr>
                <w:sz w:val="20"/>
              </w:rPr>
              <w:t xml:space="preserve">7</w:t>
            </w:r>
          </w:p>
        </w:tc>
        <w:tc>
          <w:tcPr>
            <w:tcW w:w="1152" w:type="dxa"/>
          </w:tcPr>
          <w:p>
            <w:pPr>
              <w:pStyle w:val="0"/>
              <w:jc w:val="center"/>
            </w:pPr>
            <w:r>
              <w:rPr>
                <w:sz w:val="20"/>
              </w:rPr>
              <w:t xml:space="preserve">8</w:t>
            </w:r>
          </w:p>
        </w:tc>
      </w:tr>
      <w:tr>
        <w:tc>
          <w:tcPr>
            <w:tcW w:w="524" w:type="dxa"/>
          </w:tcPr>
          <w:bookmarkStart w:id="8548" w:name="P8548"/>
          <w:bookmarkEnd w:id="8548"/>
          <w:p>
            <w:pPr>
              <w:pStyle w:val="0"/>
              <w:jc w:val="center"/>
            </w:pPr>
            <w:r>
              <w:rPr>
                <w:sz w:val="20"/>
              </w:rPr>
              <w:t xml:space="preserve">1</w:t>
            </w:r>
          </w:p>
        </w:tc>
        <w:tc>
          <w:tcPr>
            <w:tcW w:w="3498" w:type="dxa"/>
          </w:tcPr>
          <w:p>
            <w:pPr>
              <w:pStyle w:val="0"/>
              <w:jc w:val="both"/>
            </w:pPr>
            <w:r>
              <w:rPr>
                <w:sz w:val="20"/>
              </w:rPr>
              <w:t xml:space="preserve">Удельный расход электрической энергии (мощности), учтенный при расчете тарифов</w:t>
            </w:r>
          </w:p>
        </w:tc>
        <w:tc>
          <w:tcPr>
            <w:tcW w:w="1440" w:type="dxa"/>
          </w:tcPr>
          <w:p>
            <w:pPr>
              <w:pStyle w:val="0"/>
              <w:jc w:val="center"/>
            </w:pPr>
            <w:r>
              <w:rPr>
                <w:sz w:val="20"/>
              </w:rPr>
              <w:t xml:space="preserve">тыс. кВтч/куб. м</w:t>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r>
      <w:tr>
        <w:tc>
          <w:tcPr>
            <w:tcW w:w="524" w:type="dxa"/>
          </w:tcPr>
          <w:bookmarkStart w:id="8556" w:name="P8556"/>
          <w:bookmarkEnd w:id="8556"/>
          <w:p>
            <w:pPr>
              <w:pStyle w:val="0"/>
              <w:jc w:val="center"/>
            </w:pPr>
            <w:r>
              <w:rPr>
                <w:sz w:val="20"/>
              </w:rPr>
              <w:t xml:space="preserve">2</w:t>
            </w:r>
          </w:p>
        </w:tc>
        <w:tc>
          <w:tcPr>
            <w:tcW w:w="3498" w:type="dxa"/>
          </w:tcPr>
          <w:p>
            <w:pPr>
              <w:pStyle w:val="0"/>
              <w:jc w:val="both"/>
            </w:pPr>
            <w:r>
              <w:rPr>
                <w:sz w:val="20"/>
              </w:rPr>
              <w:t xml:space="preserve">Фактический объем отпуска воды (приема сточных вод)</w:t>
            </w:r>
          </w:p>
        </w:tc>
        <w:tc>
          <w:tcPr>
            <w:tcW w:w="1440" w:type="dxa"/>
          </w:tcPr>
          <w:p>
            <w:pPr>
              <w:pStyle w:val="0"/>
              <w:jc w:val="center"/>
            </w:pPr>
            <w:r>
              <w:rPr>
                <w:sz w:val="20"/>
              </w:rPr>
              <w:t xml:space="preserve">куб. м</w:t>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r>
      <w:tr>
        <w:tc>
          <w:tcPr>
            <w:tcW w:w="524" w:type="dxa"/>
          </w:tcPr>
          <w:bookmarkStart w:id="8564" w:name="P8564"/>
          <w:bookmarkEnd w:id="8564"/>
          <w:p>
            <w:pPr>
              <w:pStyle w:val="0"/>
              <w:jc w:val="center"/>
            </w:pPr>
            <w:r>
              <w:rPr>
                <w:sz w:val="20"/>
              </w:rPr>
              <w:t xml:space="preserve">3</w:t>
            </w:r>
          </w:p>
        </w:tc>
        <w:tc>
          <w:tcPr>
            <w:tcW w:w="3498" w:type="dxa"/>
          </w:tcPr>
          <w:p>
            <w:pPr>
              <w:pStyle w:val="0"/>
              <w:jc w:val="both"/>
            </w:pPr>
            <w:r>
              <w:rPr>
                <w:sz w:val="20"/>
              </w:rPr>
              <w:t xml:space="preserve">Фактическая (расчетная) цена на электрическую энергию (мощность)</w:t>
            </w:r>
          </w:p>
        </w:tc>
        <w:tc>
          <w:tcPr>
            <w:tcW w:w="1440" w:type="dxa"/>
          </w:tcPr>
          <w:p>
            <w:pPr>
              <w:pStyle w:val="0"/>
              <w:jc w:val="center"/>
            </w:pPr>
            <w:r>
              <w:rPr>
                <w:sz w:val="20"/>
              </w:rPr>
              <w:t xml:space="preserve">руб./тыс. кВтч</w:t>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r>
      <w:tr>
        <w:tc>
          <w:tcPr>
            <w:tcW w:w="524" w:type="dxa"/>
          </w:tcPr>
          <w:p>
            <w:pPr>
              <w:pStyle w:val="0"/>
              <w:jc w:val="center"/>
            </w:pPr>
            <w:r>
              <w:rPr>
                <w:sz w:val="20"/>
              </w:rPr>
              <w:t xml:space="preserve">4</w:t>
            </w:r>
          </w:p>
        </w:tc>
        <w:tc>
          <w:tcPr>
            <w:tcW w:w="3498" w:type="dxa"/>
          </w:tcPr>
          <w:p>
            <w:pPr>
              <w:pStyle w:val="0"/>
              <w:jc w:val="both"/>
            </w:pPr>
            <w:r>
              <w:rPr>
                <w:sz w:val="20"/>
              </w:rPr>
              <w:t xml:space="preserve">Экономия от снижения потребления электрической энергии (мощности)</w:t>
            </w:r>
          </w:p>
        </w:tc>
        <w:tc>
          <w:tcPr>
            <w:tcW w:w="1440" w:type="dxa"/>
          </w:tcPr>
          <w:p>
            <w:pPr>
              <w:pStyle w:val="0"/>
              <w:jc w:val="center"/>
            </w:pPr>
            <w:r>
              <w:rPr>
                <w:sz w:val="20"/>
              </w:rPr>
              <w:t xml:space="preserve">тыс. кВтч/куб. м</w:t>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r>
      <w:tr>
        <w:tc>
          <w:tcPr>
            <w:tcW w:w="524" w:type="dxa"/>
          </w:tcPr>
          <w:bookmarkStart w:id="8580" w:name="P8580"/>
          <w:bookmarkEnd w:id="8580"/>
          <w:p>
            <w:pPr>
              <w:pStyle w:val="0"/>
              <w:jc w:val="center"/>
            </w:pPr>
            <w:r>
              <w:rPr>
                <w:sz w:val="20"/>
              </w:rPr>
              <w:t xml:space="preserve">5</w:t>
            </w:r>
          </w:p>
        </w:tc>
        <w:tc>
          <w:tcPr>
            <w:tcW w:w="3498" w:type="dxa"/>
          </w:tcPr>
          <w:p>
            <w:pPr>
              <w:pStyle w:val="0"/>
              <w:jc w:val="both"/>
            </w:pPr>
            <w:r>
              <w:rPr>
                <w:sz w:val="20"/>
              </w:rPr>
              <w:t xml:space="preserve">Прирост экономии от снижения потребления электрической энергии (мощности)</w:t>
            </w:r>
          </w:p>
        </w:tc>
        <w:tc>
          <w:tcPr>
            <w:tcW w:w="1440" w:type="dxa"/>
          </w:tcPr>
          <w:p>
            <w:pPr>
              <w:pStyle w:val="0"/>
              <w:jc w:val="center"/>
            </w:pPr>
            <w:r>
              <w:rPr>
                <w:sz w:val="20"/>
              </w:rPr>
              <w:t xml:space="preserve">тыс. руб.</w:t>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r>
      <w:tr>
        <w:tc>
          <w:tcPr>
            <w:tcW w:w="524" w:type="dxa"/>
          </w:tcPr>
          <w:bookmarkStart w:id="8588" w:name="P8588"/>
          <w:bookmarkEnd w:id="8588"/>
          <w:p>
            <w:pPr>
              <w:pStyle w:val="0"/>
              <w:jc w:val="center"/>
            </w:pPr>
            <w:r>
              <w:rPr>
                <w:sz w:val="20"/>
              </w:rPr>
              <w:t xml:space="preserve">6</w:t>
            </w:r>
          </w:p>
        </w:tc>
        <w:tc>
          <w:tcPr>
            <w:tcW w:w="3498" w:type="dxa"/>
          </w:tcPr>
          <w:p>
            <w:pPr>
              <w:pStyle w:val="0"/>
              <w:jc w:val="both"/>
            </w:pPr>
            <w:r>
              <w:rPr>
                <w:sz w:val="20"/>
              </w:rPr>
              <w:t xml:space="preserve">Значение индекса потребительских цен</w:t>
            </w:r>
          </w:p>
        </w:tc>
        <w:tc>
          <w:tcPr>
            <w:tcW w:w="1440"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r>
      <w:tr>
        <w:tc>
          <w:tcPr>
            <w:tcW w:w="524" w:type="dxa"/>
          </w:tcPr>
          <w:bookmarkStart w:id="8596" w:name="P8596"/>
          <w:bookmarkEnd w:id="8596"/>
          <w:p>
            <w:pPr>
              <w:pStyle w:val="0"/>
              <w:jc w:val="center"/>
            </w:pPr>
            <w:r>
              <w:rPr>
                <w:sz w:val="20"/>
              </w:rPr>
              <w:t xml:space="preserve">7</w:t>
            </w:r>
          </w:p>
        </w:tc>
        <w:tc>
          <w:tcPr>
            <w:tcW w:w="3498" w:type="dxa"/>
          </w:tcPr>
          <w:p>
            <w:pPr>
              <w:pStyle w:val="0"/>
              <w:jc w:val="both"/>
            </w:pPr>
            <w:r>
              <w:rPr>
                <w:sz w:val="20"/>
              </w:rPr>
              <w:t xml:space="preserve">Кумулятивное значение индекса потребительских цен</w:t>
            </w:r>
          </w:p>
        </w:tc>
        <w:tc>
          <w:tcPr>
            <w:tcW w:w="1440"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r>
      <w:tr>
        <w:tc>
          <w:tcPr>
            <w:tcW w:w="524" w:type="dxa"/>
          </w:tcPr>
          <w:bookmarkStart w:id="8604" w:name="P8604"/>
          <w:bookmarkEnd w:id="8604"/>
          <w:p>
            <w:pPr>
              <w:pStyle w:val="0"/>
              <w:jc w:val="center"/>
            </w:pPr>
            <w:r>
              <w:rPr>
                <w:sz w:val="20"/>
              </w:rPr>
              <w:t xml:space="preserve">8</w:t>
            </w:r>
          </w:p>
        </w:tc>
        <w:tc>
          <w:tcPr>
            <w:tcW w:w="3498" w:type="dxa"/>
          </w:tcPr>
          <w:p>
            <w:pPr>
              <w:pStyle w:val="0"/>
              <w:jc w:val="both"/>
            </w:pPr>
            <w:r>
              <w:rPr>
                <w:sz w:val="20"/>
              </w:rPr>
              <w:t xml:space="preserve">Прирост экономии от снижения потребления энергетических ресурсов в ценах года i1</w:t>
            </w:r>
          </w:p>
        </w:tc>
        <w:tc>
          <w:tcPr>
            <w:tcW w:w="1440"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r>
      <w:tr>
        <w:tc>
          <w:tcPr>
            <w:tcW w:w="524" w:type="dxa"/>
          </w:tcPr>
          <w:bookmarkStart w:id="8612" w:name="P8612"/>
          <w:bookmarkEnd w:id="8612"/>
          <w:p>
            <w:pPr>
              <w:pStyle w:val="0"/>
              <w:jc w:val="center"/>
            </w:pPr>
            <w:r>
              <w:rPr>
                <w:sz w:val="20"/>
              </w:rPr>
              <w:t xml:space="preserve">9</w:t>
            </w:r>
          </w:p>
        </w:tc>
        <w:tc>
          <w:tcPr>
            <w:tcW w:w="3498" w:type="dxa"/>
          </w:tcPr>
          <w:p>
            <w:pPr>
              <w:pStyle w:val="0"/>
              <w:jc w:val="both"/>
            </w:pPr>
            <w:r>
              <w:rPr>
                <w:sz w:val="20"/>
              </w:rPr>
              <w:t xml:space="preserve">Экономия от снижения потребления электрической энергии (мощности), учитываемая в очередном долгосрочном периоде регулирования</w:t>
            </w:r>
          </w:p>
        </w:tc>
        <w:tc>
          <w:tcPr>
            <w:tcW w:w="1440" w:type="dxa"/>
          </w:tcPr>
          <w:p>
            <w:pPr>
              <w:pStyle w:val="0"/>
              <w:jc w:val="center"/>
            </w:pPr>
            <w:r>
              <w:rPr>
                <w:sz w:val="20"/>
              </w:rPr>
              <w:t xml:space="preserve">тыс. руб.</w:t>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c>
          <w:tcPr>
            <w:tcW w:w="1152" w:type="dxa"/>
          </w:tcPr>
          <w:p>
            <w:pPr>
              <w:pStyle w:val="0"/>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Приложение заполняется за предшествующий долгосрочный период регулирования.</w:t>
      </w:r>
    </w:p>
    <w:p>
      <w:pPr>
        <w:pStyle w:val="0"/>
        <w:spacing w:before="200" w:lineRule="auto"/>
        <w:ind w:firstLine="540"/>
        <w:jc w:val="both"/>
      </w:pPr>
      <w:r>
        <w:rPr>
          <w:sz w:val="20"/>
        </w:rPr>
        <w:t xml:space="preserve">2. Приложение заполняется для каждого источника тепловой энергии.</w:t>
      </w:r>
    </w:p>
    <w:p>
      <w:pPr>
        <w:pStyle w:val="0"/>
        <w:spacing w:before="200" w:lineRule="auto"/>
        <w:ind w:firstLine="540"/>
        <w:jc w:val="both"/>
      </w:pPr>
      <w:r>
        <w:rPr>
          <w:sz w:val="20"/>
        </w:rPr>
        <w:t xml:space="preserve">3. Фактическая (расчетная) цена на топливо - с учетом затрат на его доставку и хранение, определяемая в соответствии с приложением 4.5 к настоящим Методическим указаниям с учетом остатков топлива и структуры используемого топлива, учтенной при расчете удельного расхода топлива.</w:t>
      </w:r>
    </w:p>
    <w:p>
      <w:pPr>
        <w:pStyle w:val="0"/>
        <w:spacing w:before="200" w:lineRule="auto"/>
        <w:ind w:firstLine="540"/>
        <w:jc w:val="both"/>
      </w:pPr>
      <w:r>
        <w:rPr>
          <w:sz w:val="20"/>
        </w:rPr>
        <w:t xml:space="preserve">4. Графы </w:t>
      </w:r>
      <w:hyperlink w:history="0" w:anchor="P8580" w:tooltip="5">
        <w:r>
          <w:rPr>
            <w:sz w:val="20"/>
            <w:color w:val="0000ff"/>
          </w:rPr>
          <w:t xml:space="preserve">строки 5</w:t>
        </w:r>
      </w:hyperlink>
      <w:r>
        <w:rPr>
          <w:sz w:val="20"/>
        </w:rPr>
        <w:t xml:space="preserve"> заполняются расчетным способом: гр. </w:t>
      </w:r>
      <w:hyperlink w:history="0" w:anchor="P8580" w:tooltip="5">
        <w:r>
          <w:rPr>
            <w:sz w:val="20"/>
            <w:color w:val="0000ff"/>
          </w:rPr>
          <w:t xml:space="preserve">стр. 5</w:t>
        </w:r>
      </w:hyperlink>
      <w:r>
        <w:rPr>
          <w:sz w:val="20"/>
        </w:rPr>
        <w:t xml:space="preserve"> = (гр. </w:t>
      </w:r>
      <w:hyperlink w:history="0" w:anchor="P8556" w:tooltip="2">
        <w:r>
          <w:rPr>
            <w:sz w:val="20"/>
            <w:color w:val="0000ff"/>
          </w:rPr>
          <w:t xml:space="preserve">стр. 2</w:t>
        </w:r>
      </w:hyperlink>
      <w:r>
        <w:rPr>
          <w:sz w:val="20"/>
        </w:rPr>
        <w:t xml:space="preserve"> - гр. </w:t>
      </w:r>
      <w:hyperlink w:history="0" w:anchor="P8548" w:tooltip="1">
        <w:r>
          <w:rPr>
            <w:sz w:val="20"/>
            <w:color w:val="0000ff"/>
          </w:rPr>
          <w:t xml:space="preserve">стр. 1</w:t>
        </w:r>
      </w:hyperlink>
      <w:r>
        <w:rPr>
          <w:sz w:val="20"/>
        </w:rPr>
        <w:t xml:space="preserve">) * гр. </w:t>
      </w:r>
      <w:hyperlink w:history="0" w:anchor="P8564" w:tooltip="3">
        <w:r>
          <w:rPr>
            <w:sz w:val="20"/>
            <w:color w:val="0000ff"/>
          </w:rPr>
          <w:t xml:space="preserve">стр. 3</w:t>
        </w:r>
      </w:hyperlink>
      <w:r>
        <w:rPr>
          <w:sz w:val="20"/>
        </w:rPr>
        <w:t xml:space="preserve">.</w:t>
      </w:r>
    </w:p>
    <w:p>
      <w:pPr>
        <w:pStyle w:val="0"/>
        <w:spacing w:before="200" w:lineRule="auto"/>
        <w:ind w:firstLine="540"/>
        <w:jc w:val="both"/>
      </w:pPr>
      <w:r>
        <w:rPr>
          <w:sz w:val="20"/>
        </w:rPr>
        <w:t xml:space="preserve">5. Графы </w:t>
      </w:r>
      <w:hyperlink w:history="0" w:anchor="P8588" w:tooltip="6">
        <w:r>
          <w:rPr>
            <w:sz w:val="20"/>
            <w:color w:val="0000ff"/>
          </w:rPr>
          <w:t xml:space="preserve">строки 6</w:t>
        </w:r>
      </w:hyperlink>
      <w:r>
        <w:rPr>
          <w:sz w:val="20"/>
        </w:rPr>
        <w:t xml:space="preserve"> заполняются расчетным способом: </w:t>
      </w:r>
      <w:r>
        <w:rPr>
          <w:position w:val="-10"/>
        </w:rPr>
        <w:drawing>
          <wp:inline distT="0" distB="0" distL="0" distR="0">
            <wp:extent cx="4038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a:extLst>
                        <a:ext uri="{28A0092B-C50C-407E-A947-70E740481C1C}">
                          <a14:useLocalDpi xmlns:a14="http://schemas.microsoft.com/office/drawing/2010/main" val="0"/>
                        </a:ext>
                      </a:extLst>
                    </a:blip>
                    <a:srcRect/>
                    <a:stretch>
                      <a:fillRect/>
                    </a:stretch>
                  </pic:blipFill>
                  <pic:spPr bwMode="auto">
                    <a:xfrm>
                      <a:off x="0" y="0"/>
                      <a:ext cx="4038600" cy="254000"/>
                    </a:xfrm>
                    <a:prstGeom prst="rect">
                      <a:avLst/>
                    </a:prstGeom>
                    <a:noFill/>
                    <a:ln>
                      <a:noFill/>
                    </a:ln>
                  </pic:spPr>
                </pic:pic>
              </a:graphicData>
            </a:graphic>
          </wp:inline>
        </w:drawing>
      </w:r>
      <w:r>
        <w:rPr>
          <w:sz w:val="20"/>
        </w:rPr>
        <w:t xml:space="preserve">. Для первого года регулирования: </w:t>
      </w:r>
      <w:r>
        <w:rPr>
          <w:position w:val="-8"/>
        </w:rPr>
        <w:drawing>
          <wp:inline distT="0" distB="0" distL="0" distR="0">
            <wp:extent cx="25273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a:extLst>
                        <a:ext uri="{28A0092B-C50C-407E-A947-70E740481C1C}">
                          <a14:useLocalDpi xmlns:a14="http://schemas.microsoft.com/office/drawing/2010/main" val="0"/>
                        </a:ext>
                      </a:extLst>
                    </a:blip>
                    <a:srcRect/>
                    <a:stretch>
                      <a:fillRect/>
                    </a:stretch>
                  </pic:blipFill>
                  <pic:spPr bwMode="auto">
                    <a:xfrm>
                      <a:off x="0" y="0"/>
                      <a:ext cx="2527300" cy="2286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6. В </w:t>
      </w:r>
      <w:hyperlink w:history="0" w:anchor="P8604" w:tooltip="8">
        <w:r>
          <w:rPr>
            <w:sz w:val="20"/>
            <w:color w:val="0000ff"/>
          </w:rPr>
          <w:t xml:space="preserve">строке 8</w:t>
        </w:r>
      </w:hyperlink>
      <w:r>
        <w:rPr>
          <w:sz w:val="20"/>
        </w:rPr>
        <w:t xml:space="preserve">: гр. 5 - (1 + гр. 6) * (1 + гр. 7) * (1 + гр. 8) </w:t>
      </w:r>
      <w:hyperlink w:history="0" w:anchor="P8596" w:tooltip="7">
        <w:r>
          <w:rPr>
            <w:sz w:val="20"/>
            <w:color w:val="0000ff"/>
          </w:rPr>
          <w:t xml:space="preserve">строки 7</w:t>
        </w:r>
      </w:hyperlink>
      <w:r>
        <w:rPr>
          <w:sz w:val="20"/>
        </w:rPr>
        <w:t xml:space="preserve">;</w:t>
      </w:r>
    </w:p>
    <w:p>
      <w:pPr>
        <w:pStyle w:val="0"/>
        <w:spacing w:before="200" w:lineRule="auto"/>
        <w:ind w:firstLine="540"/>
        <w:jc w:val="both"/>
      </w:pPr>
      <w:r>
        <w:rPr>
          <w:sz w:val="20"/>
        </w:rPr>
        <w:t xml:space="preserve">гр. 6 = (1 + гр. 7) * (1 + гр. 8) </w:t>
      </w:r>
      <w:hyperlink w:history="0" w:anchor="P8596" w:tooltip="7">
        <w:r>
          <w:rPr>
            <w:sz w:val="20"/>
            <w:color w:val="0000ff"/>
          </w:rPr>
          <w:t xml:space="preserve">строки 7</w:t>
        </w:r>
      </w:hyperlink>
      <w:r>
        <w:rPr>
          <w:sz w:val="20"/>
        </w:rPr>
        <w:t xml:space="preserve">;</w:t>
      </w:r>
    </w:p>
    <w:p>
      <w:pPr>
        <w:pStyle w:val="0"/>
        <w:spacing w:before="200" w:lineRule="auto"/>
        <w:ind w:firstLine="540"/>
        <w:jc w:val="both"/>
      </w:pPr>
      <w:r>
        <w:rPr>
          <w:sz w:val="20"/>
        </w:rPr>
        <w:t xml:space="preserve">гр. 7 = (1 + гр. 8) </w:t>
      </w:r>
      <w:hyperlink w:history="0" w:anchor="P8596" w:tooltip="7">
        <w:r>
          <w:rPr>
            <w:sz w:val="20"/>
            <w:color w:val="0000ff"/>
          </w:rPr>
          <w:t xml:space="preserve">строки 7</w:t>
        </w:r>
      </w:hyperlink>
      <w:r>
        <w:rPr>
          <w:sz w:val="20"/>
        </w:rPr>
        <w:t xml:space="preserve">.</w:t>
      </w:r>
    </w:p>
    <w:p>
      <w:pPr>
        <w:pStyle w:val="0"/>
        <w:spacing w:before="200" w:lineRule="auto"/>
        <w:ind w:firstLine="540"/>
        <w:jc w:val="both"/>
      </w:pPr>
      <w:r>
        <w:rPr>
          <w:sz w:val="20"/>
        </w:rPr>
        <w:t xml:space="preserve">7. Гр. </w:t>
      </w:r>
      <w:hyperlink w:history="0" w:anchor="P8612" w:tooltip="9">
        <w:r>
          <w:rPr>
            <w:sz w:val="20"/>
            <w:color w:val="0000ff"/>
          </w:rPr>
          <w:t xml:space="preserve">стр. 9</w:t>
        </w:r>
      </w:hyperlink>
      <w:r>
        <w:rPr>
          <w:sz w:val="20"/>
        </w:rPr>
        <w:t xml:space="preserve"> = гр. </w:t>
      </w:r>
      <w:hyperlink w:history="0" w:anchor="P8588" w:tooltip="6">
        <w:r>
          <w:rPr>
            <w:sz w:val="20"/>
            <w:color w:val="0000ff"/>
          </w:rPr>
          <w:t xml:space="preserve">стр. 6</w:t>
        </w:r>
      </w:hyperlink>
      <w:r>
        <w:rPr>
          <w:sz w:val="20"/>
        </w:rPr>
        <w:t xml:space="preserve"> * гр. </w:t>
      </w:r>
      <w:hyperlink w:history="0" w:anchor="P8604" w:tooltip="8">
        <w:r>
          <w:rPr>
            <w:sz w:val="20"/>
            <w:color w:val="0000ff"/>
          </w:rPr>
          <w:t xml:space="preserve">стр. 8</w:t>
        </w:r>
      </w:hyperlink>
      <w:r>
        <w:rPr>
          <w:sz w:val="20"/>
        </w:rPr>
        <w:t xml:space="preserve">, кроме гр. 8</w:t>
      </w:r>
    </w:p>
    <w:p>
      <w:pPr>
        <w:pStyle w:val="0"/>
        <w:spacing w:before="200" w:lineRule="auto"/>
        <w:ind w:firstLine="540"/>
        <w:jc w:val="both"/>
      </w:pPr>
      <w:r>
        <w:rPr>
          <w:sz w:val="20"/>
        </w:rPr>
        <w:t xml:space="preserve">гр. 8 </w:t>
      </w:r>
      <w:hyperlink w:history="0" w:anchor="P8612" w:tooltip="9">
        <w:r>
          <w:rPr>
            <w:sz w:val="20"/>
            <w:color w:val="0000ff"/>
          </w:rPr>
          <w:t xml:space="preserve">стр. 9</w:t>
        </w:r>
      </w:hyperlink>
      <w:r>
        <w:rPr>
          <w:sz w:val="20"/>
        </w:rPr>
        <w:t xml:space="preserve"> = гр. </w:t>
      </w:r>
      <w:hyperlink w:history="0" w:anchor="P8588" w:tooltip="6">
        <w:r>
          <w:rPr>
            <w:sz w:val="20"/>
            <w:color w:val="0000ff"/>
          </w:rPr>
          <w:t xml:space="preserve">стр. 6</w:t>
        </w:r>
      </w:hyperlink>
      <w:r>
        <w:rPr>
          <w:sz w:val="20"/>
        </w:rPr>
        <w:t xml:space="preserve">.</w:t>
      </w:r>
    </w:p>
    <w:p>
      <w:pPr>
        <w:pStyle w:val="0"/>
        <w:spacing w:before="200" w:lineRule="auto"/>
        <w:ind w:firstLine="540"/>
        <w:jc w:val="both"/>
      </w:pPr>
      <w:r>
        <w:rPr>
          <w:sz w:val="20"/>
        </w:rPr>
        <w:t xml:space="preserve">8. Строка 10 заполняется только в графе 8.</w:t>
      </w:r>
    </w:p>
    <w:p>
      <w:pPr>
        <w:pStyle w:val="0"/>
        <w:spacing w:before="200" w:lineRule="auto"/>
        <w:ind w:firstLine="540"/>
        <w:jc w:val="both"/>
      </w:pPr>
      <w:r>
        <w:rPr>
          <w:sz w:val="20"/>
        </w:rPr>
        <w:t xml:space="preserve">Если предшествующий долгосрочный период регулирования составляет 3 года:</w:t>
      </w:r>
    </w:p>
    <w:p>
      <w:pPr>
        <w:pStyle w:val="0"/>
        <w:spacing w:before="200" w:lineRule="auto"/>
        <w:ind w:firstLine="540"/>
        <w:jc w:val="both"/>
      </w:pPr>
      <w:r>
        <w:rPr>
          <w:position w:val="-9"/>
        </w:rPr>
        <w:drawing>
          <wp:inline distT="0" distB="0" distL="0" distR="0">
            <wp:extent cx="32766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a:extLst>
                        <a:ext uri="{28A0092B-C50C-407E-A947-70E740481C1C}">
                          <a14:useLocalDpi xmlns:a14="http://schemas.microsoft.com/office/drawing/2010/main" val="0"/>
                        </a:ext>
                      </a:extLst>
                    </a:blip>
                    <a:srcRect/>
                    <a:stretch>
                      <a:fillRect/>
                    </a:stretch>
                  </pic:blipFill>
                  <pic:spPr bwMode="auto">
                    <a:xfrm>
                      <a:off x="0" y="0"/>
                      <a:ext cx="3276600" cy="253365"/>
                    </a:xfrm>
                    <a:prstGeom prst="rect">
                      <a:avLst/>
                    </a:prstGeom>
                    <a:noFill/>
                    <a:ln>
                      <a:noFill/>
                    </a:ln>
                  </pic:spPr>
                </pic:pic>
              </a:graphicData>
            </a:graphic>
          </wp:inline>
        </w:drawing>
      </w:r>
    </w:p>
    <w:p>
      <w:pPr>
        <w:pStyle w:val="0"/>
        <w:spacing w:before="200" w:lineRule="auto"/>
        <w:ind w:firstLine="540"/>
        <w:jc w:val="both"/>
      </w:pPr>
      <w:r>
        <w:rPr>
          <w:sz w:val="20"/>
        </w:rPr>
        <w:t xml:space="preserve">Если предшествующий долгосрочный период регулирования составляет более 3 лет:</w:t>
      </w:r>
    </w:p>
    <w:p>
      <w:pPr>
        <w:pStyle w:val="0"/>
        <w:spacing w:before="200" w:lineRule="auto"/>
        <w:ind w:firstLine="540"/>
        <w:jc w:val="both"/>
      </w:pPr>
      <w:r>
        <w:rPr>
          <w:position w:val="-9"/>
        </w:rPr>
        <w:drawing>
          <wp:inline distT="0" distB="0" distL="0" distR="0">
            <wp:extent cx="41656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a:extLst>
                        <a:ext uri="{28A0092B-C50C-407E-A947-70E740481C1C}">
                          <a14:useLocalDpi xmlns:a14="http://schemas.microsoft.com/office/drawing/2010/main" val="0"/>
                        </a:ext>
                      </a:extLst>
                    </a:blip>
                    <a:srcRect/>
                    <a:stretch>
                      <a:fillRect/>
                    </a:stretch>
                  </pic:blipFill>
                  <pic:spPr bwMode="auto">
                    <a:xfrm>
                      <a:off x="0" y="0"/>
                      <a:ext cx="4165600" cy="253365"/>
                    </a:xfrm>
                    <a:prstGeom prst="rect">
                      <a:avLst/>
                    </a:prstGeom>
                    <a:noFill/>
                    <a:ln>
                      <a:noFill/>
                    </a:ln>
                  </pic:spPr>
                </pic:pic>
              </a:graphicData>
            </a:graphic>
          </wp:inline>
        </w:drawing>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6.8</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bookmarkStart w:id="8647" w:name="P8647"/>
    <w:bookmarkEnd w:id="8647"/>
    <w:p>
      <w:pPr>
        <w:pStyle w:val="0"/>
        <w:jc w:val="center"/>
      </w:pPr>
      <w:r>
        <w:rPr>
          <w:sz w:val="20"/>
        </w:rPr>
        <w:t xml:space="preserve">Расчет</w:t>
      </w:r>
    </w:p>
    <w:p>
      <w:pPr>
        <w:pStyle w:val="0"/>
        <w:jc w:val="center"/>
      </w:pPr>
      <w:r>
        <w:rPr>
          <w:sz w:val="20"/>
        </w:rPr>
        <w:t xml:space="preserve">экономии от снижения потребления прочих энергетических</w:t>
      </w:r>
    </w:p>
    <w:p>
      <w:pPr>
        <w:pStyle w:val="0"/>
        <w:jc w:val="center"/>
      </w:pPr>
      <w:r>
        <w:rPr>
          <w:sz w:val="20"/>
        </w:rPr>
        <w:t xml:space="preserve">ресурсов, холодной воды, теплоносителя (далее в настоящем</w:t>
      </w:r>
    </w:p>
    <w:p>
      <w:pPr>
        <w:pStyle w:val="0"/>
        <w:jc w:val="center"/>
      </w:pPr>
      <w:r>
        <w:rPr>
          <w:sz w:val="20"/>
        </w:rPr>
        <w:t xml:space="preserve">приложении - ресурсы), учитываемой в очередном</w:t>
      </w:r>
    </w:p>
    <w:p>
      <w:pPr>
        <w:pStyle w:val="0"/>
        <w:jc w:val="center"/>
      </w:pPr>
      <w:r>
        <w:rPr>
          <w:sz w:val="20"/>
        </w:rPr>
        <w:t xml:space="preserve">долгосрочном периоде регулирования</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4578"/>
        <w:gridCol w:w="1080"/>
        <w:gridCol w:w="1008"/>
        <w:gridCol w:w="1008"/>
        <w:gridCol w:w="1008"/>
        <w:gridCol w:w="1008"/>
        <w:gridCol w:w="1008"/>
      </w:tblGrid>
      <w:tr>
        <w:tc>
          <w:tcPr>
            <w:tcW w:w="524" w:type="dxa"/>
          </w:tcPr>
          <w:p>
            <w:pPr>
              <w:pStyle w:val="0"/>
              <w:jc w:val="center"/>
            </w:pPr>
            <w:r>
              <w:rPr>
                <w:sz w:val="20"/>
              </w:rPr>
              <w:t xml:space="preserve">N п/п</w:t>
            </w:r>
          </w:p>
        </w:tc>
        <w:tc>
          <w:tcPr>
            <w:tcW w:w="4578" w:type="dxa"/>
          </w:tcPr>
          <w:p>
            <w:pPr>
              <w:pStyle w:val="0"/>
              <w:jc w:val="center"/>
            </w:pPr>
            <w:r>
              <w:rPr>
                <w:sz w:val="20"/>
              </w:rPr>
              <w:t xml:space="preserve">Показатели</w:t>
            </w:r>
          </w:p>
        </w:tc>
        <w:tc>
          <w:tcPr>
            <w:tcW w:w="1080" w:type="dxa"/>
          </w:tcPr>
          <w:p>
            <w:pPr>
              <w:pStyle w:val="0"/>
              <w:jc w:val="center"/>
            </w:pPr>
            <w:r>
              <w:rPr>
                <w:sz w:val="20"/>
              </w:rPr>
              <w:t xml:space="preserve">Единица измерения</w:t>
            </w:r>
          </w:p>
        </w:tc>
        <w:tc>
          <w:tcPr>
            <w:tcW w:w="1008" w:type="dxa"/>
          </w:tcPr>
          <w:p>
            <w:pPr>
              <w:pStyle w:val="0"/>
              <w:jc w:val="center"/>
            </w:pPr>
            <w:r>
              <w:rPr>
                <w:sz w:val="20"/>
              </w:rPr>
              <w:t xml:space="preserve">Истекший год (i1-4)</w:t>
            </w:r>
          </w:p>
        </w:tc>
        <w:tc>
          <w:tcPr>
            <w:tcW w:w="1008" w:type="dxa"/>
          </w:tcPr>
          <w:p>
            <w:pPr>
              <w:pStyle w:val="0"/>
              <w:jc w:val="center"/>
            </w:pPr>
            <w:r>
              <w:rPr>
                <w:sz w:val="20"/>
              </w:rPr>
              <w:t xml:space="preserve">Истекший год (i-3)</w:t>
            </w:r>
          </w:p>
        </w:tc>
        <w:tc>
          <w:tcPr>
            <w:tcW w:w="1008" w:type="dxa"/>
          </w:tcPr>
          <w:p>
            <w:pPr>
              <w:pStyle w:val="0"/>
              <w:jc w:val="center"/>
            </w:pPr>
            <w:r>
              <w:rPr>
                <w:sz w:val="20"/>
              </w:rPr>
              <w:t xml:space="preserve">Истекший год (i-2)</w:t>
            </w:r>
          </w:p>
        </w:tc>
        <w:tc>
          <w:tcPr>
            <w:tcW w:w="1008" w:type="dxa"/>
          </w:tcPr>
          <w:p>
            <w:pPr>
              <w:pStyle w:val="0"/>
              <w:jc w:val="center"/>
            </w:pPr>
            <w:r>
              <w:rPr>
                <w:sz w:val="20"/>
              </w:rPr>
              <w:t xml:space="preserve">Текущий год (i1-1)</w:t>
            </w:r>
          </w:p>
        </w:tc>
        <w:tc>
          <w:tcPr>
            <w:tcW w:w="1008" w:type="dxa"/>
          </w:tcPr>
          <w:p>
            <w:pPr>
              <w:pStyle w:val="0"/>
              <w:jc w:val="center"/>
            </w:pPr>
            <w:r>
              <w:rPr>
                <w:sz w:val="20"/>
              </w:rPr>
              <w:t xml:space="preserve">Год i1</w:t>
            </w:r>
          </w:p>
        </w:tc>
      </w:tr>
      <w:tr>
        <w:tc>
          <w:tcPr>
            <w:tcW w:w="524" w:type="dxa"/>
          </w:tcPr>
          <w:p>
            <w:pPr>
              <w:pStyle w:val="0"/>
              <w:jc w:val="center"/>
            </w:pPr>
            <w:r>
              <w:rPr>
                <w:sz w:val="20"/>
              </w:rPr>
              <w:t xml:space="preserve">1</w:t>
            </w:r>
          </w:p>
        </w:tc>
        <w:tc>
          <w:tcPr>
            <w:tcW w:w="4578" w:type="dxa"/>
          </w:tcPr>
          <w:p>
            <w:pPr>
              <w:pStyle w:val="0"/>
              <w:jc w:val="center"/>
            </w:pPr>
            <w:r>
              <w:rPr>
                <w:sz w:val="20"/>
              </w:rPr>
              <w:t xml:space="preserve">2</w:t>
            </w:r>
          </w:p>
        </w:tc>
        <w:tc>
          <w:tcPr>
            <w:tcW w:w="1080" w:type="dxa"/>
          </w:tcPr>
          <w:p>
            <w:pPr>
              <w:pStyle w:val="0"/>
              <w:jc w:val="center"/>
            </w:pPr>
            <w:r>
              <w:rPr>
                <w:sz w:val="20"/>
              </w:rPr>
              <w:t xml:space="preserve">3</w:t>
            </w:r>
          </w:p>
        </w:tc>
        <w:tc>
          <w:tcPr>
            <w:tcW w:w="1008" w:type="dxa"/>
          </w:tcPr>
          <w:p>
            <w:pPr>
              <w:pStyle w:val="0"/>
              <w:jc w:val="center"/>
            </w:pPr>
            <w:r>
              <w:rPr>
                <w:sz w:val="20"/>
              </w:rPr>
              <w:t xml:space="preserve">4</w:t>
            </w:r>
          </w:p>
        </w:tc>
        <w:tc>
          <w:tcPr>
            <w:tcW w:w="1008" w:type="dxa"/>
          </w:tcPr>
          <w:p>
            <w:pPr>
              <w:pStyle w:val="0"/>
              <w:jc w:val="center"/>
            </w:pPr>
            <w:r>
              <w:rPr>
                <w:sz w:val="20"/>
              </w:rPr>
              <w:t xml:space="preserve">5</w:t>
            </w:r>
          </w:p>
        </w:tc>
        <w:tc>
          <w:tcPr>
            <w:tcW w:w="1008" w:type="dxa"/>
          </w:tcPr>
          <w:p>
            <w:pPr>
              <w:pStyle w:val="0"/>
              <w:jc w:val="center"/>
            </w:pPr>
            <w:r>
              <w:rPr>
                <w:sz w:val="20"/>
              </w:rPr>
              <w:t xml:space="preserve">6</w:t>
            </w:r>
          </w:p>
        </w:tc>
        <w:tc>
          <w:tcPr>
            <w:tcW w:w="1008" w:type="dxa"/>
          </w:tcPr>
          <w:p>
            <w:pPr>
              <w:pStyle w:val="0"/>
              <w:jc w:val="center"/>
            </w:pPr>
            <w:r>
              <w:rPr>
                <w:sz w:val="20"/>
              </w:rPr>
              <w:t xml:space="preserve">7</w:t>
            </w:r>
          </w:p>
        </w:tc>
        <w:tc>
          <w:tcPr>
            <w:tcW w:w="1008" w:type="dxa"/>
          </w:tcPr>
          <w:p>
            <w:pPr>
              <w:pStyle w:val="0"/>
              <w:jc w:val="center"/>
            </w:pPr>
            <w:r>
              <w:rPr>
                <w:sz w:val="20"/>
              </w:rPr>
              <w:t xml:space="preserve">8</w:t>
            </w:r>
          </w:p>
        </w:tc>
      </w:tr>
      <w:tr>
        <w:tc>
          <w:tcPr>
            <w:tcW w:w="524" w:type="dxa"/>
          </w:tcPr>
          <w:bookmarkStart w:id="8669" w:name="P8669"/>
          <w:bookmarkEnd w:id="8669"/>
          <w:p>
            <w:pPr>
              <w:pStyle w:val="0"/>
              <w:jc w:val="center"/>
            </w:pPr>
            <w:r>
              <w:rPr>
                <w:sz w:val="20"/>
              </w:rPr>
              <w:t xml:space="preserve">1</w:t>
            </w:r>
          </w:p>
        </w:tc>
        <w:tc>
          <w:tcPr>
            <w:tcW w:w="4578" w:type="dxa"/>
          </w:tcPr>
          <w:p>
            <w:pPr>
              <w:pStyle w:val="0"/>
              <w:jc w:val="both"/>
            </w:pPr>
            <w:r>
              <w:rPr>
                <w:sz w:val="20"/>
              </w:rPr>
              <w:t xml:space="preserve">Фактический объем воды (сточных вод), отпущенных или принятых в водопроводную и канализационную сеть</w:t>
            </w:r>
          </w:p>
        </w:tc>
        <w:tc>
          <w:tcPr>
            <w:tcW w:w="1080" w:type="dxa"/>
          </w:tcPr>
          <w:p>
            <w:pPr>
              <w:pStyle w:val="0"/>
              <w:jc w:val="center"/>
            </w:pPr>
            <w:r>
              <w:rPr>
                <w:sz w:val="20"/>
              </w:rPr>
              <w:t xml:space="preserve">тыс. куб. м</w:t>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r>
      <w:tr>
        <w:tc>
          <w:tcPr>
            <w:tcW w:w="524" w:type="dxa"/>
          </w:tcPr>
          <w:bookmarkStart w:id="8677" w:name="P8677"/>
          <w:bookmarkEnd w:id="8677"/>
          <w:p>
            <w:pPr>
              <w:pStyle w:val="0"/>
              <w:jc w:val="center"/>
            </w:pPr>
            <w:r>
              <w:rPr>
                <w:sz w:val="20"/>
              </w:rPr>
              <w:t xml:space="preserve">2</w:t>
            </w:r>
          </w:p>
        </w:tc>
        <w:tc>
          <w:tcPr>
            <w:tcW w:w="4578" w:type="dxa"/>
          </w:tcPr>
          <w:p>
            <w:pPr>
              <w:pStyle w:val="0"/>
              <w:jc w:val="both"/>
            </w:pPr>
            <w:r>
              <w:rPr>
                <w:sz w:val="20"/>
              </w:rPr>
              <w:t xml:space="preserve">Расчетный объем воды (сточных вод), отпущенных или принятых в водопроводную и канализационную сеть соответственно, учтенный при установлении тарифов</w:t>
            </w:r>
          </w:p>
        </w:tc>
        <w:tc>
          <w:tcPr>
            <w:tcW w:w="1080" w:type="dxa"/>
          </w:tcPr>
          <w:p>
            <w:pPr>
              <w:pStyle w:val="0"/>
              <w:jc w:val="center"/>
            </w:pPr>
            <w:r>
              <w:rPr>
                <w:sz w:val="20"/>
              </w:rPr>
              <w:t xml:space="preserve">тыс. куб. м</w:t>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r>
      <w:tr>
        <w:tc>
          <w:tcPr>
            <w:tcW w:w="524" w:type="dxa"/>
          </w:tcPr>
          <w:bookmarkStart w:id="8685" w:name="P8685"/>
          <w:bookmarkEnd w:id="8685"/>
          <w:p>
            <w:pPr>
              <w:pStyle w:val="0"/>
              <w:jc w:val="center"/>
            </w:pPr>
            <w:r>
              <w:rPr>
                <w:sz w:val="20"/>
              </w:rPr>
              <w:t xml:space="preserve">3</w:t>
            </w:r>
          </w:p>
        </w:tc>
        <w:tc>
          <w:tcPr>
            <w:tcW w:w="4578" w:type="dxa"/>
          </w:tcPr>
          <w:p>
            <w:pPr>
              <w:pStyle w:val="0"/>
              <w:jc w:val="both"/>
            </w:pPr>
            <w:r>
              <w:rPr>
                <w:sz w:val="20"/>
              </w:rPr>
              <w:t xml:space="preserve">Объем потребления ресурса, учтенный при установлении тарифов</w:t>
            </w:r>
          </w:p>
        </w:tc>
        <w:tc>
          <w:tcPr>
            <w:tcW w:w="1080"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r>
      <w:tr>
        <w:tc>
          <w:tcPr>
            <w:tcW w:w="524" w:type="dxa"/>
          </w:tcPr>
          <w:bookmarkStart w:id="8693" w:name="P8693"/>
          <w:bookmarkEnd w:id="8693"/>
          <w:p>
            <w:pPr>
              <w:pStyle w:val="0"/>
              <w:jc w:val="center"/>
            </w:pPr>
            <w:r>
              <w:rPr>
                <w:sz w:val="20"/>
              </w:rPr>
              <w:t xml:space="preserve">4</w:t>
            </w:r>
          </w:p>
        </w:tc>
        <w:tc>
          <w:tcPr>
            <w:tcW w:w="4578" w:type="dxa"/>
          </w:tcPr>
          <w:p>
            <w:pPr>
              <w:pStyle w:val="0"/>
              <w:jc w:val="both"/>
            </w:pPr>
            <w:r>
              <w:rPr>
                <w:sz w:val="20"/>
              </w:rPr>
              <w:t xml:space="preserve">Фактический объем потребления ресурса</w:t>
            </w:r>
          </w:p>
        </w:tc>
        <w:tc>
          <w:tcPr>
            <w:tcW w:w="1080"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r>
      <w:tr>
        <w:tc>
          <w:tcPr>
            <w:tcW w:w="524" w:type="dxa"/>
          </w:tcPr>
          <w:bookmarkStart w:id="8701" w:name="P8701"/>
          <w:bookmarkEnd w:id="8701"/>
          <w:p>
            <w:pPr>
              <w:pStyle w:val="0"/>
              <w:jc w:val="center"/>
            </w:pPr>
            <w:r>
              <w:rPr>
                <w:sz w:val="20"/>
              </w:rPr>
              <w:t xml:space="preserve">5</w:t>
            </w:r>
          </w:p>
        </w:tc>
        <w:tc>
          <w:tcPr>
            <w:tcW w:w="4578" w:type="dxa"/>
          </w:tcPr>
          <w:p>
            <w:pPr>
              <w:pStyle w:val="0"/>
              <w:jc w:val="both"/>
            </w:pPr>
            <w:r>
              <w:rPr>
                <w:sz w:val="20"/>
              </w:rPr>
              <w:t xml:space="preserve">Фактическая стоимость приобретения (производства) единицы ресурса</w:t>
            </w:r>
          </w:p>
        </w:tc>
        <w:tc>
          <w:tcPr>
            <w:tcW w:w="1080"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r>
      <w:tr>
        <w:tc>
          <w:tcPr>
            <w:tcW w:w="524" w:type="dxa"/>
          </w:tcPr>
          <w:bookmarkStart w:id="8709" w:name="P8709"/>
          <w:bookmarkEnd w:id="8709"/>
          <w:p>
            <w:pPr>
              <w:pStyle w:val="0"/>
              <w:jc w:val="center"/>
            </w:pPr>
            <w:r>
              <w:rPr>
                <w:sz w:val="20"/>
              </w:rPr>
              <w:t xml:space="preserve">6</w:t>
            </w:r>
          </w:p>
        </w:tc>
        <w:tc>
          <w:tcPr>
            <w:tcW w:w="4578" w:type="dxa"/>
          </w:tcPr>
          <w:p>
            <w:pPr>
              <w:pStyle w:val="0"/>
              <w:jc w:val="both"/>
            </w:pPr>
            <w:r>
              <w:rPr>
                <w:sz w:val="20"/>
              </w:rPr>
              <w:t xml:space="preserve">Экономия от снижения потребления ресурсов</w:t>
            </w:r>
          </w:p>
        </w:tc>
        <w:tc>
          <w:tcPr>
            <w:tcW w:w="1080" w:type="dxa"/>
          </w:tcPr>
          <w:p>
            <w:pPr>
              <w:pStyle w:val="0"/>
              <w:jc w:val="center"/>
            </w:pPr>
            <w:r>
              <w:rPr>
                <w:sz w:val="20"/>
              </w:rPr>
              <w:t xml:space="preserve">тыс. руб.</w:t>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r>
      <w:tr>
        <w:tc>
          <w:tcPr>
            <w:tcW w:w="524" w:type="dxa"/>
          </w:tcPr>
          <w:bookmarkStart w:id="8717" w:name="P8717"/>
          <w:bookmarkEnd w:id="8717"/>
          <w:p>
            <w:pPr>
              <w:pStyle w:val="0"/>
              <w:jc w:val="center"/>
            </w:pPr>
            <w:r>
              <w:rPr>
                <w:sz w:val="20"/>
              </w:rPr>
              <w:t xml:space="preserve">7</w:t>
            </w:r>
          </w:p>
        </w:tc>
        <w:tc>
          <w:tcPr>
            <w:tcW w:w="4578" w:type="dxa"/>
          </w:tcPr>
          <w:p>
            <w:pPr>
              <w:pStyle w:val="0"/>
              <w:jc w:val="both"/>
            </w:pPr>
            <w:r>
              <w:rPr>
                <w:sz w:val="20"/>
              </w:rPr>
              <w:t xml:space="preserve">Прирост экономии от снижения потребления ресурсов</w:t>
            </w:r>
          </w:p>
        </w:tc>
        <w:tc>
          <w:tcPr>
            <w:tcW w:w="1080" w:type="dxa"/>
          </w:tcPr>
          <w:p>
            <w:pPr>
              <w:pStyle w:val="0"/>
              <w:jc w:val="center"/>
            </w:pPr>
            <w:r>
              <w:rPr>
                <w:sz w:val="20"/>
              </w:rPr>
              <w:t xml:space="preserve">тыс. руб.</w:t>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r>
      <w:tr>
        <w:tc>
          <w:tcPr>
            <w:tcW w:w="524" w:type="dxa"/>
          </w:tcPr>
          <w:bookmarkStart w:id="8725" w:name="P8725"/>
          <w:bookmarkEnd w:id="8725"/>
          <w:p>
            <w:pPr>
              <w:pStyle w:val="0"/>
              <w:jc w:val="center"/>
            </w:pPr>
            <w:r>
              <w:rPr>
                <w:sz w:val="20"/>
              </w:rPr>
              <w:t xml:space="preserve">8</w:t>
            </w:r>
          </w:p>
        </w:tc>
        <w:tc>
          <w:tcPr>
            <w:tcW w:w="4578" w:type="dxa"/>
          </w:tcPr>
          <w:p>
            <w:pPr>
              <w:pStyle w:val="0"/>
              <w:jc w:val="both"/>
            </w:pPr>
            <w:r>
              <w:rPr>
                <w:sz w:val="20"/>
              </w:rPr>
              <w:t xml:space="preserve">Значение индекса потребительских цен</w:t>
            </w:r>
          </w:p>
        </w:tc>
        <w:tc>
          <w:tcPr>
            <w:tcW w:w="1080"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r>
      <w:tr>
        <w:tc>
          <w:tcPr>
            <w:tcW w:w="524" w:type="dxa"/>
          </w:tcPr>
          <w:bookmarkStart w:id="8733" w:name="P8733"/>
          <w:bookmarkEnd w:id="8733"/>
          <w:p>
            <w:pPr>
              <w:pStyle w:val="0"/>
              <w:jc w:val="center"/>
            </w:pPr>
            <w:r>
              <w:rPr>
                <w:sz w:val="20"/>
              </w:rPr>
              <w:t xml:space="preserve">9</w:t>
            </w:r>
          </w:p>
        </w:tc>
        <w:tc>
          <w:tcPr>
            <w:tcW w:w="4578" w:type="dxa"/>
          </w:tcPr>
          <w:p>
            <w:pPr>
              <w:pStyle w:val="0"/>
              <w:jc w:val="both"/>
            </w:pPr>
            <w:r>
              <w:rPr>
                <w:sz w:val="20"/>
              </w:rPr>
              <w:t xml:space="preserve">Кумулятивное значение индекса потребительских цен</w:t>
            </w:r>
          </w:p>
        </w:tc>
        <w:tc>
          <w:tcPr>
            <w:tcW w:w="1080"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r>
      <w:tr>
        <w:tc>
          <w:tcPr>
            <w:tcW w:w="524" w:type="dxa"/>
          </w:tcPr>
          <w:bookmarkStart w:id="8741" w:name="P8741"/>
          <w:bookmarkEnd w:id="8741"/>
          <w:p>
            <w:pPr>
              <w:pStyle w:val="0"/>
              <w:jc w:val="center"/>
            </w:pPr>
            <w:r>
              <w:rPr>
                <w:sz w:val="20"/>
              </w:rPr>
              <w:t xml:space="preserve">10</w:t>
            </w:r>
          </w:p>
        </w:tc>
        <w:tc>
          <w:tcPr>
            <w:tcW w:w="4578" w:type="dxa"/>
          </w:tcPr>
          <w:p>
            <w:pPr>
              <w:pStyle w:val="0"/>
              <w:jc w:val="both"/>
            </w:pPr>
            <w:r>
              <w:rPr>
                <w:sz w:val="20"/>
              </w:rPr>
              <w:t xml:space="preserve">Прирост экономии от снижения потребления ресурсов в ценах года i1</w:t>
            </w:r>
          </w:p>
        </w:tc>
        <w:tc>
          <w:tcPr>
            <w:tcW w:w="1080" w:type="dxa"/>
          </w:tcPr>
          <w:p>
            <w:pPr>
              <w:pStyle w:val="0"/>
              <w:jc w:val="center"/>
            </w:pPr>
            <w:r>
              <w:rPr>
                <w:sz w:val="20"/>
              </w:rPr>
              <w:t xml:space="preserve">тыс. руб.</w:t>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r>
      <w:tr>
        <w:tc>
          <w:tcPr>
            <w:tcW w:w="524" w:type="dxa"/>
          </w:tcPr>
          <w:bookmarkStart w:id="8749" w:name="P8749"/>
          <w:bookmarkEnd w:id="8749"/>
          <w:p>
            <w:pPr>
              <w:pStyle w:val="0"/>
              <w:jc w:val="center"/>
            </w:pPr>
            <w:r>
              <w:rPr>
                <w:sz w:val="20"/>
              </w:rPr>
              <w:t xml:space="preserve">11</w:t>
            </w:r>
          </w:p>
        </w:tc>
        <w:tc>
          <w:tcPr>
            <w:tcW w:w="4578" w:type="dxa"/>
          </w:tcPr>
          <w:p>
            <w:pPr>
              <w:pStyle w:val="0"/>
              <w:jc w:val="both"/>
            </w:pPr>
            <w:r>
              <w:rPr>
                <w:sz w:val="20"/>
              </w:rPr>
              <w:t xml:space="preserve">Экономия от снижения потребления ресурсов, учитываемая в очередном долгосрочном периоде регулирования</w:t>
            </w:r>
          </w:p>
        </w:tc>
        <w:tc>
          <w:tcPr>
            <w:tcW w:w="1080" w:type="dxa"/>
          </w:tcPr>
          <w:p>
            <w:pPr>
              <w:pStyle w:val="0"/>
              <w:jc w:val="center"/>
            </w:pPr>
            <w:r>
              <w:rPr>
                <w:sz w:val="20"/>
              </w:rPr>
              <w:t xml:space="preserve">тыс. руб.</w:t>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c>
          <w:tcPr>
            <w:tcW w:w="1008" w:type="dxa"/>
          </w:tcPr>
          <w:p>
            <w:pPr>
              <w:pStyle w:val="0"/>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Приложение заполняется за предшествующий долгосрочный период регулирования.</w:t>
      </w:r>
    </w:p>
    <w:p>
      <w:pPr>
        <w:pStyle w:val="0"/>
        <w:spacing w:before="200" w:lineRule="auto"/>
        <w:ind w:firstLine="540"/>
        <w:jc w:val="both"/>
      </w:pPr>
      <w:r>
        <w:rPr>
          <w:sz w:val="20"/>
        </w:rPr>
        <w:t xml:space="preserve">2. Приложение заполняется для каждого вида ресурсов.</w:t>
      </w:r>
    </w:p>
    <w:p>
      <w:pPr>
        <w:pStyle w:val="0"/>
        <w:spacing w:before="200" w:lineRule="auto"/>
        <w:ind w:firstLine="540"/>
        <w:jc w:val="both"/>
      </w:pPr>
      <w:r>
        <w:rPr>
          <w:sz w:val="20"/>
        </w:rPr>
        <w:t xml:space="preserve">3. Графы </w:t>
      </w:r>
      <w:hyperlink w:history="0" w:anchor="P8709" w:tooltip="6">
        <w:r>
          <w:rPr>
            <w:sz w:val="20"/>
            <w:color w:val="0000ff"/>
          </w:rPr>
          <w:t xml:space="preserve">строки 6</w:t>
        </w:r>
      </w:hyperlink>
      <w:r>
        <w:rPr>
          <w:sz w:val="20"/>
        </w:rPr>
        <w:t xml:space="preserve"> заполняются расчетным способом: гр. </w:t>
      </w:r>
      <w:hyperlink w:history="0" w:anchor="P8709" w:tooltip="6">
        <w:r>
          <w:rPr>
            <w:sz w:val="20"/>
            <w:color w:val="0000ff"/>
          </w:rPr>
          <w:t xml:space="preserve">стр. 6</w:t>
        </w:r>
      </w:hyperlink>
      <w:r>
        <w:rPr>
          <w:sz w:val="20"/>
        </w:rPr>
        <w:t xml:space="preserve"> = гр. </w:t>
      </w:r>
      <w:hyperlink w:history="0" w:anchor="P8669" w:tooltip="1">
        <w:r>
          <w:rPr>
            <w:sz w:val="20"/>
            <w:color w:val="0000ff"/>
          </w:rPr>
          <w:t xml:space="preserve">стр. 1</w:t>
        </w:r>
      </w:hyperlink>
      <w:r>
        <w:rPr>
          <w:sz w:val="20"/>
        </w:rPr>
        <w:t xml:space="preserve"> / гр. </w:t>
      </w:r>
      <w:hyperlink w:history="0" w:anchor="P8677" w:tooltip="2">
        <w:r>
          <w:rPr>
            <w:sz w:val="20"/>
            <w:color w:val="0000ff"/>
          </w:rPr>
          <w:t xml:space="preserve">стр. 2</w:t>
        </w:r>
      </w:hyperlink>
      <w:r>
        <w:rPr>
          <w:sz w:val="20"/>
        </w:rPr>
        <w:t xml:space="preserve"> * гр. </w:t>
      </w:r>
      <w:hyperlink w:history="0" w:anchor="P8685" w:tooltip="3">
        <w:r>
          <w:rPr>
            <w:sz w:val="20"/>
            <w:color w:val="0000ff"/>
          </w:rPr>
          <w:t xml:space="preserve">стр. 3</w:t>
        </w:r>
      </w:hyperlink>
      <w:r>
        <w:rPr>
          <w:sz w:val="20"/>
        </w:rPr>
        <w:t xml:space="preserve"> - гр. </w:t>
      </w:r>
      <w:hyperlink w:history="0" w:anchor="P8693" w:tooltip="4">
        <w:r>
          <w:rPr>
            <w:sz w:val="20"/>
            <w:color w:val="0000ff"/>
          </w:rPr>
          <w:t xml:space="preserve">стр. 4</w:t>
        </w:r>
      </w:hyperlink>
      <w:r>
        <w:rPr>
          <w:sz w:val="20"/>
        </w:rPr>
        <w:t xml:space="preserve">.</w:t>
      </w:r>
    </w:p>
    <w:p>
      <w:pPr>
        <w:pStyle w:val="0"/>
        <w:spacing w:before="200" w:lineRule="auto"/>
        <w:ind w:firstLine="540"/>
        <w:jc w:val="both"/>
      </w:pPr>
      <w:r>
        <w:rPr>
          <w:sz w:val="20"/>
        </w:rPr>
        <w:t xml:space="preserve">4. Графы </w:t>
      </w:r>
      <w:hyperlink w:history="0" w:anchor="P8717" w:tooltip="7">
        <w:r>
          <w:rPr>
            <w:sz w:val="20"/>
            <w:color w:val="0000ff"/>
          </w:rPr>
          <w:t xml:space="preserve">строки 7</w:t>
        </w:r>
      </w:hyperlink>
      <w:r>
        <w:rPr>
          <w:sz w:val="20"/>
        </w:rPr>
        <w:t xml:space="preserve"> заполняются расчетным способом: гр. </w:t>
      </w:r>
      <w:hyperlink w:history="0" w:anchor="P8717" w:tooltip="7">
        <w:r>
          <w:rPr>
            <w:sz w:val="20"/>
            <w:color w:val="0000ff"/>
          </w:rPr>
          <w:t xml:space="preserve">стр. 7</w:t>
        </w:r>
      </w:hyperlink>
      <w:r>
        <w:rPr>
          <w:sz w:val="20"/>
        </w:rPr>
        <w:t xml:space="preserve"> = (гр. </w:t>
      </w:r>
      <w:hyperlink w:history="0" w:anchor="P8709" w:tooltip="6">
        <w:r>
          <w:rPr>
            <w:sz w:val="20"/>
            <w:color w:val="0000ff"/>
          </w:rPr>
          <w:t xml:space="preserve">стр. 6</w:t>
        </w:r>
      </w:hyperlink>
      <w:r>
        <w:rPr>
          <w:sz w:val="20"/>
        </w:rPr>
        <w:t xml:space="preserve"> - гр. </w:t>
      </w:r>
      <w:hyperlink w:history="0" w:anchor="P8709" w:tooltip="6">
        <w:r>
          <w:rPr>
            <w:sz w:val="20"/>
            <w:color w:val="0000ff"/>
          </w:rPr>
          <w:t xml:space="preserve">стр. 6</w:t>
        </w:r>
      </w:hyperlink>
      <w:r>
        <w:rPr>
          <w:sz w:val="20"/>
        </w:rPr>
        <w:t xml:space="preserve"> | предыдущий год) * гр. </w:t>
      </w:r>
      <w:hyperlink w:history="0" w:anchor="P8701" w:tooltip="5">
        <w:r>
          <w:rPr>
            <w:sz w:val="20"/>
            <w:color w:val="0000ff"/>
          </w:rPr>
          <w:t xml:space="preserve">стр. 5</w:t>
        </w:r>
      </w:hyperlink>
      <w:r>
        <w:rPr>
          <w:sz w:val="20"/>
        </w:rPr>
        <w:t xml:space="preserve">. Для первого года регулирования: </w:t>
      </w:r>
      <w:hyperlink w:history="0" w:anchor="P8717" w:tooltip="7">
        <w:r>
          <w:rPr>
            <w:sz w:val="20"/>
            <w:color w:val="0000ff"/>
          </w:rPr>
          <w:t xml:space="preserve">стр. 7</w:t>
        </w:r>
      </w:hyperlink>
      <w:r>
        <w:rPr>
          <w:sz w:val="20"/>
        </w:rPr>
        <w:t xml:space="preserve"> = гр. </w:t>
      </w:r>
      <w:hyperlink w:history="0" w:anchor="P8709" w:tooltip="6">
        <w:r>
          <w:rPr>
            <w:sz w:val="20"/>
            <w:color w:val="0000ff"/>
          </w:rPr>
          <w:t xml:space="preserve">стр. 6</w:t>
        </w:r>
      </w:hyperlink>
      <w:r>
        <w:rPr>
          <w:sz w:val="20"/>
        </w:rPr>
        <w:t xml:space="preserve"> * гр. </w:t>
      </w:r>
      <w:hyperlink w:history="0" w:anchor="P8701" w:tooltip="5">
        <w:r>
          <w:rPr>
            <w:sz w:val="20"/>
            <w:color w:val="0000ff"/>
          </w:rPr>
          <w:t xml:space="preserve">стр. 5</w:t>
        </w:r>
      </w:hyperlink>
      <w:r>
        <w:rPr>
          <w:sz w:val="20"/>
        </w:rPr>
        <w:t xml:space="preserve">. Необходимо согласовать единицы измерения всех показателей для того, чтобы выразить прирост экономии от снижения потребления ресурсов в тыс. руб.</w:t>
      </w:r>
    </w:p>
    <w:p>
      <w:pPr>
        <w:pStyle w:val="0"/>
        <w:spacing w:before="200" w:lineRule="auto"/>
        <w:ind w:firstLine="540"/>
        <w:jc w:val="both"/>
      </w:pPr>
      <w:r>
        <w:rPr>
          <w:sz w:val="20"/>
        </w:rPr>
        <w:t xml:space="preserve">5. В </w:t>
      </w:r>
      <w:hyperlink w:history="0" w:anchor="P8733" w:tooltip="9">
        <w:r>
          <w:rPr>
            <w:sz w:val="20"/>
            <w:color w:val="0000ff"/>
          </w:rPr>
          <w:t xml:space="preserve">строке 9</w:t>
        </w:r>
      </w:hyperlink>
      <w:r>
        <w:rPr>
          <w:sz w:val="20"/>
        </w:rPr>
        <w:t xml:space="preserve">: гр. 5 = (1 + гр. 6) * (1 + гр. 7) * (1 + гр. 8) </w:t>
      </w:r>
      <w:hyperlink w:history="0" w:anchor="P8725" w:tooltip="8">
        <w:r>
          <w:rPr>
            <w:sz w:val="20"/>
            <w:color w:val="0000ff"/>
          </w:rPr>
          <w:t xml:space="preserve">строки 8</w:t>
        </w:r>
      </w:hyperlink>
      <w:r>
        <w:rPr>
          <w:sz w:val="20"/>
        </w:rPr>
        <w:t xml:space="preserve">;</w:t>
      </w:r>
    </w:p>
    <w:p>
      <w:pPr>
        <w:pStyle w:val="0"/>
        <w:spacing w:before="200" w:lineRule="auto"/>
        <w:ind w:firstLine="540"/>
        <w:jc w:val="both"/>
      </w:pPr>
      <w:r>
        <w:rPr>
          <w:sz w:val="20"/>
        </w:rPr>
        <w:t xml:space="preserve">гр. 6 = (1 + гр. 7) * (1 + гр. 8) </w:t>
      </w:r>
      <w:hyperlink w:history="0" w:anchor="P8725" w:tooltip="8">
        <w:r>
          <w:rPr>
            <w:sz w:val="20"/>
            <w:color w:val="0000ff"/>
          </w:rPr>
          <w:t xml:space="preserve">строки 8</w:t>
        </w:r>
      </w:hyperlink>
      <w:r>
        <w:rPr>
          <w:sz w:val="20"/>
        </w:rPr>
        <w:t xml:space="preserve">;</w:t>
      </w:r>
    </w:p>
    <w:p>
      <w:pPr>
        <w:pStyle w:val="0"/>
        <w:spacing w:before="200" w:lineRule="auto"/>
        <w:ind w:firstLine="540"/>
        <w:jc w:val="both"/>
      </w:pPr>
      <w:r>
        <w:rPr>
          <w:sz w:val="20"/>
        </w:rPr>
        <w:t xml:space="preserve">гр. 7 = (1 + гр. 8) </w:t>
      </w:r>
      <w:hyperlink w:history="0" w:anchor="P8725" w:tooltip="8">
        <w:r>
          <w:rPr>
            <w:sz w:val="20"/>
            <w:color w:val="0000ff"/>
          </w:rPr>
          <w:t xml:space="preserve">строки 8</w:t>
        </w:r>
      </w:hyperlink>
      <w:r>
        <w:rPr>
          <w:sz w:val="20"/>
        </w:rPr>
        <w:t xml:space="preserve">.</w:t>
      </w:r>
    </w:p>
    <w:p>
      <w:pPr>
        <w:pStyle w:val="0"/>
        <w:spacing w:before="200" w:lineRule="auto"/>
        <w:ind w:firstLine="540"/>
        <w:jc w:val="both"/>
      </w:pPr>
      <w:r>
        <w:rPr>
          <w:sz w:val="20"/>
        </w:rPr>
        <w:t xml:space="preserve">6. Гр. </w:t>
      </w:r>
      <w:hyperlink w:history="0" w:anchor="P8741" w:tooltip="10">
        <w:r>
          <w:rPr>
            <w:sz w:val="20"/>
            <w:color w:val="0000ff"/>
          </w:rPr>
          <w:t xml:space="preserve">стр. 10</w:t>
        </w:r>
      </w:hyperlink>
      <w:r>
        <w:rPr>
          <w:sz w:val="20"/>
        </w:rPr>
        <w:t xml:space="preserve"> = гр. </w:t>
      </w:r>
      <w:hyperlink w:history="0" w:anchor="P8717" w:tooltip="7">
        <w:r>
          <w:rPr>
            <w:sz w:val="20"/>
            <w:color w:val="0000ff"/>
          </w:rPr>
          <w:t xml:space="preserve">стр. 7</w:t>
        </w:r>
      </w:hyperlink>
      <w:r>
        <w:rPr>
          <w:sz w:val="20"/>
        </w:rPr>
        <w:t xml:space="preserve"> * гр. </w:t>
      </w:r>
      <w:hyperlink w:history="0" w:anchor="P8733" w:tooltip="9">
        <w:r>
          <w:rPr>
            <w:sz w:val="20"/>
            <w:color w:val="0000ff"/>
          </w:rPr>
          <w:t xml:space="preserve">стр. 9</w:t>
        </w:r>
      </w:hyperlink>
      <w:r>
        <w:rPr>
          <w:sz w:val="20"/>
        </w:rPr>
        <w:t xml:space="preserve">, кроме гр. 8</w:t>
      </w:r>
    </w:p>
    <w:p>
      <w:pPr>
        <w:pStyle w:val="0"/>
        <w:spacing w:before="200" w:lineRule="auto"/>
        <w:ind w:firstLine="540"/>
        <w:jc w:val="both"/>
      </w:pPr>
      <w:r>
        <w:rPr>
          <w:sz w:val="20"/>
        </w:rPr>
        <w:t xml:space="preserve">гр. 8 </w:t>
      </w:r>
      <w:hyperlink w:history="0" w:anchor="P8741" w:tooltip="10">
        <w:r>
          <w:rPr>
            <w:sz w:val="20"/>
            <w:color w:val="0000ff"/>
          </w:rPr>
          <w:t xml:space="preserve">стр. 10</w:t>
        </w:r>
      </w:hyperlink>
      <w:r>
        <w:rPr>
          <w:sz w:val="20"/>
        </w:rPr>
        <w:t xml:space="preserve"> = гр. </w:t>
      </w:r>
      <w:hyperlink w:history="0" w:anchor="P8717" w:tooltip="7">
        <w:r>
          <w:rPr>
            <w:sz w:val="20"/>
            <w:color w:val="0000ff"/>
          </w:rPr>
          <w:t xml:space="preserve">стр. 7</w:t>
        </w:r>
      </w:hyperlink>
      <w:r>
        <w:rPr>
          <w:sz w:val="20"/>
        </w:rPr>
        <w:t xml:space="preserve">.</w:t>
      </w:r>
    </w:p>
    <w:p>
      <w:pPr>
        <w:pStyle w:val="0"/>
        <w:spacing w:before="200" w:lineRule="auto"/>
        <w:ind w:firstLine="540"/>
        <w:jc w:val="both"/>
      </w:pPr>
      <w:r>
        <w:rPr>
          <w:sz w:val="20"/>
        </w:rPr>
        <w:t xml:space="preserve">7. </w:t>
      </w:r>
      <w:hyperlink w:history="0" w:anchor="P8749" w:tooltip="11">
        <w:r>
          <w:rPr>
            <w:sz w:val="20"/>
            <w:color w:val="0000ff"/>
          </w:rPr>
          <w:t xml:space="preserve">Строка 11</w:t>
        </w:r>
      </w:hyperlink>
      <w:r>
        <w:rPr>
          <w:sz w:val="20"/>
        </w:rPr>
        <w:t xml:space="preserve"> заполняется только в графе 8.</w:t>
      </w:r>
    </w:p>
    <w:p>
      <w:pPr>
        <w:pStyle w:val="0"/>
        <w:spacing w:before="200" w:lineRule="auto"/>
        <w:ind w:firstLine="540"/>
        <w:jc w:val="both"/>
      </w:pPr>
      <w:r>
        <w:rPr>
          <w:sz w:val="20"/>
        </w:rPr>
        <w:t xml:space="preserve">Если предшествующий долгосрочный период регулирования составляет 3 года:</w:t>
      </w:r>
    </w:p>
    <w:p>
      <w:pPr>
        <w:pStyle w:val="0"/>
        <w:spacing w:before="200" w:lineRule="auto"/>
        <w:ind w:firstLine="540"/>
        <w:jc w:val="both"/>
      </w:pPr>
      <w:r>
        <w:rPr>
          <w:position w:val="-9"/>
        </w:rPr>
        <w:drawing>
          <wp:inline distT="0" distB="0" distL="0" distR="0">
            <wp:extent cx="33274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a:extLst>
                        <a:ext uri="{28A0092B-C50C-407E-A947-70E740481C1C}">
                          <a14:useLocalDpi xmlns:a14="http://schemas.microsoft.com/office/drawing/2010/main" val="0"/>
                        </a:ext>
                      </a:extLst>
                    </a:blip>
                    <a:srcRect/>
                    <a:stretch>
                      <a:fillRect/>
                    </a:stretch>
                  </pic:blipFill>
                  <pic:spPr bwMode="auto">
                    <a:xfrm>
                      <a:off x="0" y="0"/>
                      <a:ext cx="3327400" cy="253365"/>
                    </a:xfrm>
                    <a:prstGeom prst="rect">
                      <a:avLst/>
                    </a:prstGeom>
                    <a:noFill/>
                    <a:ln>
                      <a:noFill/>
                    </a:ln>
                  </pic:spPr>
                </pic:pic>
              </a:graphicData>
            </a:graphic>
          </wp:inline>
        </w:drawing>
      </w:r>
    </w:p>
    <w:p>
      <w:pPr>
        <w:pStyle w:val="0"/>
        <w:spacing w:before="200" w:lineRule="auto"/>
        <w:ind w:firstLine="540"/>
        <w:jc w:val="both"/>
      </w:pPr>
      <w:r>
        <w:rPr>
          <w:sz w:val="20"/>
        </w:rPr>
        <w:t xml:space="preserve">Если предшествующий долгосрочный период регулирования составляет более 3 лет:</w:t>
      </w:r>
    </w:p>
    <w:p>
      <w:pPr>
        <w:pStyle w:val="0"/>
        <w:spacing w:before="200" w:lineRule="auto"/>
        <w:ind w:firstLine="540"/>
        <w:jc w:val="both"/>
      </w:pPr>
      <w:r>
        <w:rPr>
          <w:position w:val="-9"/>
        </w:rPr>
        <w:drawing>
          <wp:inline distT="0" distB="0" distL="0" distR="0">
            <wp:extent cx="4191000" cy="253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a:extLst>
                        <a:ext uri="{28A0092B-C50C-407E-A947-70E740481C1C}">
                          <a14:useLocalDpi xmlns:a14="http://schemas.microsoft.com/office/drawing/2010/main" val="0"/>
                        </a:ext>
                      </a:extLst>
                    </a:blip>
                    <a:srcRect/>
                    <a:stretch>
                      <a:fillRect/>
                    </a:stretch>
                  </pic:blipFill>
                  <pic:spPr bwMode="auto">
                    <a:xfrm>
                      <a:off x="0" y="0"/>
                      <a:ext cx="4191000" cy="253365"/>
                    </a:xfrm>
                    <a:prstGeom prst="rect">
                      <a:avLst/>
                    </a:prstGeom>
                    <a:noFill/>
                    <a:ln>
                      <a:noFill/>
                    </a:ln>
                  </pic:spPr>
                </pic:pic>
              </a:graphicData>
            </a:graphic>
          </wp:inline>
        </w:drawing>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6.9</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p>
      <w:pPr>
        <w:pStyle w:val="0"/>
        <w:jc w:val="center"/>
      </w:pPr>
      <w:r>
        <w:rPr>
          <w:sz w:val="20"/>
        </w:rPr>
        <w:t xml:space="preserve">Первоначальная база инвестированного капитала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граф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4398"/>
        <w:gridCol w:w="1080"/>
        <w:gridCol w:w="1080"/>
        <w:gridCol w:w="1080"/>
        <w:gridCol w:w="1080"/>
        <w:gridCol w:w="1080"/>
        <w:gridCol w:w="1080"/>
      </w:tblGrid>
      <w:tr>
        <w:tc>
          <w:tcPr>
            <w:tcW w:w="524" w:type="dxa"/>
          </w:tcPr>
          <w:p>
            <w:pPr>
              <w:pStyle w:val="0"/>
              <w:jc w:val="center"/>
            </w:pPr>
            <w:r>
              <w:rPr>
                <w:sz w:val="20"/>
              </w:rPr>
              <w:t xml:space="preserve">N п/п</w:t>
            </w:r>
          </w:p>
        </w:tc>
        <w:tc>
          <w:tcPr>
            <w:tcW w:w="4398" w:type="dxa"/>
          </w:tcPr>
          <w:p>
            <w:pPr>
              <w:pStyle w:val="0"/>
              <w:jc w:val="center"/>
            </w:pPr>
            <w:r>
              <w:rPr>
                <w:sz w:val="20"/>
              </w:rPr>
              <w:t xml:space="preserve">Наименование</w:t>
            </w:r>
          </w:p>
        </w:tc>
        <w:tc>
          <w:tcPr>
            <w:tcW w:w="1080" w:type="dxa"/>
          </w:tcPr>
          <w:p>
            <w:pPr>
              <w:pStyle w:val="0"/>
              <w:jc w:val="center"/>
            </w:pPr>
            <w:r>
              <w:rPr>
                <w:sz w:val="20"/>
              </w:rPr>
              <w:t xml:space="preserve">Единица измерений</w:t>
            </w:r>
          </w:p>
        </w:tc>
        <w:tc>
          <w:tcPr>
            <w:tcW w:w="1080" w:type="dxa"/>
          </w:tcPr>
          <w:p>
            <w:pPr>
              <w:pStyle w:val="0"/>
              <w:jc w:val="center"/>
            </w:pPr>
            <w:r>
              <w:rPr>
                <w:sz w:val="20"/>
              </w:rPr>
              <w:t xml:space="preserve">Истекший год (i1-4)</w:t>
            </w:r>
          </w:p>
        </w:tc>
        <w:tc>
          <w:tcPr>
            <w:tcW w:w="1080" w:type="dxa"/>
          </w:tcPr>
          <w:p>
            <w:pPr>
              <w:pStyle w:val="0"/>
              <w:jc w:val="center"/>
            </w:pPr>
            <w:r>
              <w:rPr>
                <w:sz w:val="20"/>
              </w:rPr>
              <w:t xml:space="preserve">Истекший год (i-3)</w:t>
            </w:r>
          </w:p>
        </w:tc>
        <w:tc>
          <w:tcPr>
            <w:tcW w:w="1080" w:type="dxa"/>
          </w:tcPr>
          <w:p>
            <w:pPr>
              <w:pStyle w:val="0"/>
              <w:jc w:val="center"/>
            </w:pPr>
            <w:r>
              <w:rPr>
                <w:sz w:val="20"/>
              </w:rPr>
              <w:t xml:space="preserve">Истекший год (i-2)</w:t>
            </w:r>
          </w:p>
        </w:tc>
        <w:tc>
          <w:tcPr>
            <w:tcW w:w="1080" w:type="dxa"/>
          </w:tcPr>
          <w:p>
            <w:pPr>
              <w:pStyle w:val="0"/>
              <w:jc w:val="center"/>
            </w:pPr>
            <w:r>
              <w:rPr>
                <w:sz w:val="20"/>
              </w:rPr>
              <w:t xml:space="preserve">Текущий год (i-1)</w:t>
            </w:r>
          </w:p>
        </w:tc>
        <w:tc>
          <w:tcPr>
            <w:tcW w:w="1080" w:type="dxa"/>
          </w:tcPr>
          <w:p>
            <w:pPr>
              <w:pStyle w:val="0"/>
              <w:jc w:val="center"/>
            </w:pPr>
            <w:r>
              <w:rPr>
                <w:sz w:val="20"/>
              </w:rPr>
              <w:t xml:space="preserve">1-й год</w:t>
            </w:r>
          </w:p>
        </w:tc>
      </w:tr>
      <w:tr>
        <w:tc>
          <w:tcPr>
            <w:tcW w:w="524" w:type="dxa"/>
          </w:tcPr>
          <w:p>
            <w:pPr>
              <w:pStyle w:val="0"/>
              <w:jc w:val="center"/>
            </w:pPr>
            <w:r>
              <w:rPr>
                <w:sz w:val="20"/>
              </w:rPr>
              <w:t xml:space="preserve">1</w:t>
            </w:r>
          </w:p>
        </w:tc>
        <w:tc>
          <w:tcPr>
            <w:tcW w:w="4398" w:type="dxa"/>
          </w:tcPr>
          <w:p>
            <w:pPr>
              <w:pStyle w:val="0"/>
              <w:jc w:val="center"/>
            </w:pPr>
            <w:r>
              <w:rPr>
                <w:sz w:val="20"/>
              </w:rPr>
              <w:t xml:space="preserve">2</w:t>
            </w:r>
          </w:p>
        </w:tc>
        <w:tc>
          <w:tcPr>
            <w:tcW w:w="1080" w:type="dxa"/>
          </w:tcPr>
          <w:p>
            <w:pPr>
              <w:pStyle w:val="0"/>
              <w:jc w:val="center"/>
            </w:pPr>
            <w:r>
              <w:rPr>
                <w:sz w:val="20"/>
              </w:rPr>
              <w:t xml:space="preserve">3</w:t>
            </w:r>
          </w:p>
        </w:tc>
        <w:tc>
          <w:tcPr>
            <w:tcW w:w="1080" w:type="dxa"/>
          </w:tcPr>
          <w:p>
            <w:pPr>
              <w:pStyle w:val="0"/>
              <w:jc w:val="center"/>
            </w:pPr>
            <w:r>
              <w:rPr>
                <w:sz w:val="20"/>
              </w:rPr>
              <w:t xml:space="preserve">4</w:t>
            </w:r>
          </w:p>
        </w:tc>
        <w:tc>
          <w:tcPr>
            <w:tcW w:w="1080" w:type="dxa"/>
          </w:tcPr>
          <w:p>
            <w:pPr>
              <w:pStyle w:val="0"/>
              <w:jc w:val="center"/>
            </w:pPr>
            <w:r>
              <w:rPr>
                <w:sz w:val="20"/>
              </w:rPr>
              <w:t xml:space="preserve">5</w:t>
            </w:r>
          </w:p>
        </w:tc>
        <w:tc>
          <w:tcPr>
            <w:tcW w:w="1080" w:type="dxa"/>
          </w:tcPr>
          <w:p>
            <w:pPr>
              <w:pStyle w:val="0"/>
              <w:jc w:val="center"/>
            </w:pPr>
            <w:r>
              <w:rPr>
                <w:sz w:val="20"/>
              </w:rPr>
              <w:t xml:space="preserve">6</w:t>
            </w:r>
          </w:p>
        </w:tc>
        <w:tc>
          <w:tcPr>
            <w:tcW w:w="1080" w:type="dxa"/>
          </w:tcPr>
          <w:p>
            <w:pPr>
              <w:pStyle w:val="0"/>
              <w:jc w:val="center"/>
            </w:pPr>
            <w:r>
              <w:rPr>
                <w:sz w:val="20"/>
              </w:rPr>
              <w:t xml:space="preserve">9</w:t>
            </w:r>
          </w:p>
        </w:tc>
        <w:tc>
          <w:tcPr>
            <w:tcW w:w="1080" w:type="dxa"/>
          </w:tcPr>
          <w:p>
            <w:pPr>
              <w:pStyle w:val="0"/>
              <w:jc w:val="center"/>
            </w:pPr>
            <w:r>
              <w:rPr>
                <w:sz w:val="20"/>
              </w:rPr>
              <w:t xml:space="preserve">10</w:t>
            </w:r>
          </w:p>
        </w:tc>
      </w:tr>
      <w:tr>
        <w:tc>
          <w:tcPr>
            <w:tcW w:w="524" w:type="dxa"/>
          </w:tcPr>
          <w:p>
            <w:pPr>
              <w:pStyle w:val="0"/>
            </w:pPr>
            <w:r>
              <w:rPr>
                <w:sz w:val="20"/>
              </w:rPr>
              <w:t xml:space="preserve">1</w:t>
            </w:r>
          </w:p>
        </w:tc>
        <w:tc>
          <w:tcPr>
            <w:tcW w:w="4398" w:type="dxa"/>
          </w:tcPr>
          <w:p>
            <w:pPr>
              <w:pStyle w:val="0"/>
            </w:pPr>
            <w:r>
              <w:rPr>
                <w:sz w:val="20"/>
              </w:rPr>
              <w:t xml:space="preserve">База инвестированного капитала</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r>
        <w:tc>
          <w:tcPr>
            <w:tcW w:w="524" w:type="dxa"/>
          </w:tcPr>
          <w:p>
            <w:pPr>
              <w:pStyle w:val="0"/>
            </w:pPr>
            <w:r>
              <w:rPr>
                <w:sz w:val="20"/>
              </w:rPr>
              <w:t xml:space="preserve">2</w:t>
            </w:r>
          </w:p>
        </w:tc>
        <w:tc>
          <w:tcPr>
            <w:tcW w:w="4398" w:type="dxa"/>
          </w:tcPr>
          <w:p>
            <w:pPr>
              <w:pStyle w:val="0"/>
            </w:pPr>
            <w:r>
              <w:rPr>
                <w:sz w:val="20"/>
              </w:rPr>
              <w:t xml:space="preserve">Индекс потребительских цен</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r>
        <w:tc>
          <w:tcPr>
            <w:tcW w:w="524" w:type="dxa"/>
          </w:tcPr>
          <w:p>
            <w:pPr>
              <w:pStyle w:val="0"/>
            </w:pPr>
            <w:r>
              <w:rPr>
                <w:sz w:val="20"/>
              </w:rPr>
              <w:t xml:space="preserve">3</w:t>
            </w:r>
          </w:p>
        </w:tc>
        <w:tc>
          <w:tcPr>
            <w:tcW w:w="4398" w:type="dxa"/>
          </w:tcPr>
          <w:p>
            <w:pPr>
              <w:pStyle w:val="0"/>
            </w:pPr>
            <w:r>
              <w:rPr>
                <w:sz w:val="20"/>
              </w:rPr>
              <w:t xml:space="preserve">Остаточная стоимость основных средств</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r>
        <w:tc>
          <w:tcPr>
            <w:tcW w:w="524" w:type="dxa"/>
          </w:tcPr>
          <w:p>
            <w:pPr>
              <w:pStyle w:val="0"/>
            </w:pPr>
            <w:r>
              <w:rPr>
                <w:sz w:val="20"/>
              </w:rPr>
              <w:t xml:space="preserve">4</w:t>
            </w:r>
          </w:p>
        </w:tc>
        <w:tc>
          <w:tcPr>
            <w:tcW w:w="4398" w:type="dxa"/>
          </w:tcPr>
          <w:p>
            <w:pPr>
              <w:pStyle w:val="0"/>
            </w:pPr>
            <w:r>
              <w:rPr>
                <w:sz w:val="20"/>
              </w:rPr>
              <w:t xml:space="preserve">Инвестированный капитал</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r>
        <w:tc>
          <w:tcPr>
            <w:tcW w:w="524" w:type="dxa"/>
          </w:tcPr>
          <w:p>
            <w:pPr>
              <w:pStyle w:val="0"/>
            </w:pPr>
            <w:r>
              <w:rPr>
                <w:sz w:val="20"/>
              </w:rPr>
              <w:t xml:space="preserve">4.1</w:t>
            </w:r>
          </w:p>
        </w:tc>
        <w:tc>
          <w:tcPr>
            <w:tcW w:w="4398" w:type="dxa"/>
          </w:tcPr>
          <w:p>
            <w:pPr>
              <w:pStyle w:val="0"/>
            </w:pPr>
            <w:r>
              <w:rPr>
                <w:sz w:val="20"/>
              </w:rPr>
              <w:t xml:space="preserve">Капитальные вложения</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r>
        <w:tc>
          <w:tcPr>
            <w:tcW w:w="524" w:type="dxa"/>
          </w:tcPr>
          <w:p>
            <w:pPr>
              <w:pStyle w:val="0"/>
            </w:pPr>
            <w:r>
              <w:rPr>
                <w:sz w:val="20"/>
              </w:rPr>
              <w:t xml:space="preserve">4.2</w:t>
            </w:r>
          </w:p>
        </w:tc>
        <w:tc>
          <w:tcPr>
            <w:tcW w:w="4398" w:type="dxa"/>
          </w:tcPr>
          <w:p>
            <w:pPr>
              <w:pStyle w:val="0"/>
            </w:pPr>
            <w:r>
              <w:rPr>
                <w:sz w:val="20"/>
              </w:rPr>
              <w:t xml:space="preserve">Изменение количества активов</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r>
        <w:tc>
          <w:tcPr>
            <w:tcW w:w="524" w:type="dxa"/>
          </w:tcPr>
          <w:p>
            <w:pPr>
              <w:pStyle w:val="0"/>
            </w:pPr>
            <w:r>
              <w:rPr>
                <w:sz w:val="20"/>
              </w:rPr>
              <w:t xml:space="preserve">4.3</w:t>
            </w:r>
          </w:p>
        </w:tc>
        <w:tc>
          <w:tcPr>
            <w:tcW w:w="4398" w:type="dxa"/>
          </w:tcPr>
          <w:p>
            <w:pPr>
              <w:pStyle w:val="0"/>
            </w:pPr>
            <w:r>
              <w:rPr>
                <w:sz w:val="20"/>
              </w:rPr>
              <w:t xml:space="preserve">Плата за подключение</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r>
        <w:tc>
          <w:tcPr>
            <w:tcW w:w="524" w:type="dxa"/>
          </w:tcPr>
          <w:p>
            <w:pPr>
              <w:pStyle w:val="0"/>
            </w:pPr>
            <w:r>
              <w:rPr>
                <w:sz w:val="20"/>
              </w:rPr>
              <w:t xml:space="preserve">4.4</w:t>
            </w:r>
          </w:p>
        </w:tc>
        <w:tc>
          <w:tcPr>
            <w:tcW w:w="4398" w:type="dxa"/>
          </w:tcPr>
          <w:p>
            <w:pPr>
              <w:pStyle w:val="0"/>
            </w:pPr>
            <w:r>
              <w:rPr>
                <w:sz w:val="20"/>
              </w:rPr>
              <w:t xml:space="preserve">Надбавки к тарифам</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r>
        <w:tc>
          <w:tcPr>
            <w:tcW w:w="524" w:type="dxa"/>
          </w:tcPr>
          <w:p>
            <w:pPr>
              <w:pStyle w:val="0"/>
            </w:pPr>
            <w:r>
              <w:rPr>
                <w:sz w:val="20"/>
              </w:rPr>
              <w:t xml:space="preserve">4.5</w:t>
            </w:r>
          </w:p>
        </w:tc>
        <w:tc>
          <w:tcPr>
            <w:tcW w:w="4398" w:type="dxa"/>
          </w:tcPr>
          <w:p>
            <w:pPr>
              <w:pStyle w:val="0"/>
            </w:pPr>
            <w:r>
              <w:rPr>
                <w:sz w:val="20"/>
              </w:rPr>
              <w:t xml:space="preserve">Средства бюджетов и гос. корпораций</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r>
        <w:tc>
          <w:tcPr>
            <w:tcW w:w="524" w:type="dxa"/>
          </w:tcPr>
          <w:p>
            <w:pPr>
              <w:pStyle w:val="0"/>
            </w:pPr>
            <w:r>
              <w:rPr>
                <w:sz w:val="20"/>
              </w:rPr>
              <w:t xml:space="preserve">5</w:t>
            </w:r>
          </w:p>
        </w:tc>
        <w:tc>
          <w:tcPr>
            <w:tcW w:w="4398" w:type="dxa"/>
          </w:tcPr>
          <w:p>
            <w:pPr>
              <w:pStyle w:val="0"/>
            </w:pPr>
            <w:r>
              <w:rPr>
                <w:sz w:val="20"/>
              </w:rPr>
              <w:t xml:space="preserve">Стоимость объектов, выведенных из эксплуатации</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r>
        <w:tc>
          <w:tcPr>
            <w:tcW w:w="524" w:type="dxa"/>
          </w:tcPr>
          <w:p>
            <w:pPr>
              <w:pStyle w:val="0"/>
            </w:pPr>
            <w:r>
              <w:rPr>
                <w:sz w:val="20"/>
              </w:rPr>
              <w:t xml:space="preserve">6</w:t>
            </w:r>
          </w:p>
        </w:tc>
        <w:tc>
          <w:tcPr>
            <w:tcW w:w="4398" w:type="dxa"/>
          </w:tcPr>
          <w:p>
            <w:pPr>
              <w:pStyle w:val="0"/>
            </w:pPr>
            <w:r>
              <w:rPr>
                <w:sz w:val="20"/>
              </w:rPr>
              <w:t xml:space="preserve">Амортизация</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r>
        <w:tc>
          <w:tcPr>
            <w:tcW w:w="524" w:type="dxa"/>
          </w:tcPr>
          <w:p>
            <w:pPr>
              <w:pStyle w:val="0"/>
            </w:pPr>
            <w:r>
              <w:rPr>
                <w:sz w:val="20"/>
              </w:rPr>
              <w:t xml:space="preserve">7</w:t>
            </w:r>
          </w:p>
        </w:tc>
        <w:tc>
          <w:tcPr>
            <w:tcW w:w="4398" w:type="dxa"/>
          </w:tcPr>
          <w:p>
            <w:pPr>
              <w:pStyle w:val="0"/>
            </w:pPr>
            <w:r>
              <w:rPr>
                <w:sz w:val="20"/>
              </w:rPr>
              <w:t xml:space="preserve">Возврат кредитов</w:t>
            </w:r>
          </w:p>
        </w:tc>
        <w:tc>
          <w:tcPr>
            <w:tcW w:w="1080" w:type="dxa"/>
          </w:tcPr>
          <w:p>
            <w:pPr>
              <w:pStyle w:val="0"/>
              <w:jc w:val="center"/>
            </w:pPr>
            <w:r>
              <w:rPr>
                <w:sz w:val="20"/>
              </w:rPr>
              <w:t xml:space="preserve">тыс. руб.</w:t>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080" w:type="dxa"/>
          </w:tcPr>
          <w:p>
            <w:pPr>
              <w:pStyle w:val="0"/>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6.10</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p>
      <w:pPr>
        <w:pStyle w:val="0"/>
        <w:jc w:val="center"/>
      </w:pPr>
      <w:r>
        <w:rPr>
          <w:sz w:val="20"/>
        </w:rPr>
        <w:t xml:space="preserve">База инвестированного капитала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4038"/>
        <w:gridCol w:w="1080"/>
        <w:gridCol w:w="820"/>
        <w:gridCol w:w="821"/>
        <w:gridCol w:w="821"/>
        <w:gridCol w:w="820"/>
        <w:gridCol w:w="821"/>
        <w:gridCol w:w="821"/>
        <w:gridCol w:w="821"/>
      </w:tblGrid>
      <w:tr>
        <w:tc>
          <w:tcPr>
            <w:tcW w:w="524" w:type="dxa"/>
          </w:tcPr>
          <w:p>
            <w:pPr>
              <w:pStyle w:val="0"/>
              <w:jc w:val="center"/>
            </w:pPr>
            <w:r>
              <w:rPr>
                <w:sz w:val="20"/>
              </w:rPr>
              <w:t xml:space="preserve">N п/п</w:t>
            </w:r>
          </w:p>
        </w:tc>
        <w:tc>
          <w:tcPr>
            <w:tcW w:w="4038" w:type="dxa"/>
          </w:tcPr>
          <w:p>
            <w:pPr>
              <w:pStyle w:val="0"/>
              <w:jc w:val="center"/>
            </w:pPr>
            <w:r>
              <w:rPr>
                <w:sz w:val="20"/>
              </w:rPr>
              <w:t xml:space="preserve">Наименование</w:t>
            </w:r>
          </w:p>
        </w:tc>
        <w:tc>
          <w:tcPr>
            <w:tcW w:w="1080" w:type="dxa"/>
          </w:tcPr>
          <w:p>
            <w:pPr>
              <w:pStyle w:val="0"/>
              <w:jc w:val="center"/>
            </w:pPr>
            <w:r>
              <w:rPr>
                <w:sz w:val="20"/>
              </w:rPr>
              <w:t xml:space="preserve">Единица измерений</w:t>
            </w:r>
          </w:p>
        </w:tc>
        <w:tc>
          <w:tcPr>
            <w:tcW w:w="820" w:type="dxa"/>
          </w:tcPr>
          <w:p>
            <w:pPr>
              <w:pStyle w:val="0"/>
              <w:jc w:val="center"/>
            </w:pPr>
            <w:r>
              <w:rPr>
                <w:sz w:val="20"/>
              </w:rPr>
              <w:t xml:space="preserve">Истекший год (i-2)</w:t>
            </w:r>
          </w:p>
        </w:tc>
        <w:tc>
          <w:tcPr>
            <w:tcW w:w="821" w:type="dxa"/>
          </w:tcPr>
          <w:p>
            <w:pPr>
              <w:pStyle w:val="0"/>
              <w:jc w:val="center"/>
            </w:pPr>
            <w:r>
              <w:rPr>
                <w:sz w:val="20"/>
              </w:rPr>
              <w:t xml:space="preserve">Текущий год (i-1)</w:t>
            </w:r>
          </w:p>
        </w:tc>
        <w:tc>
          <w:tcPr>
            <w:tcW w:w="821" w:type="dxa"/>
          </w:tcPr>
          <w:p>
            <w:pPr>
              <w:pStyle w:val="0"/>
              <w:jc w:val="center"/>
            </w:pPr>
            <w:r>
              <w:rPr>
                <w:sz w:val="20"/>
              </w:rPr>
              <w:t xml:space="preserve">1-й год</w:t>
            </w:r>
          </w:p>
        </w:tc>
        <w:tc>
          <w:tcPr>
            <w:tcW w:w="820" w:type="dxa"/>
          </w:tcPr>
          <w:p>
            <w:pPr>
              <w:pStyle w:val="0"/>
              <w:jc w:val="center"/>
            </w:pPr>
            <w:r>
              <w:rPr>
                <w:sz w:val="20"/>
              </w:rPr>
              <w:t xml:space="preserve">2-й год</w:t>
            </w:r>
          </w:p>
        </w:tc>
        <w:tc>
          <w:tcPr>
            <w:tcW w:w="821" w:type="dxa"/>
          </w:tcPr>
          <w:p>
            <w:pPr>
              <w:pStyle w:val="0"/>
              <w:jc w:val="center"/>
            </w:pPr>
            <w:r>
              <w:rPr>
                <w:sz w:val="20"/>
              </w:rPr>
              <w:t xml:space="preserve">3-й год</w:t>
            </w:r>
          </w:p>
        </w:tc>
        <w:tc>
          <w:tcPr>
            <w:tcW w:w="821" w:type="dxa"/>
          </w:tcPr>
          <w:p>
            <w:pPr>
              <w:pStyle w:val="0"/>
              <w:jc w:val="center"/>
            </w:pPr>
            <w:r>
              <w:rPr>
                <w:sz w:val="20"/>
              </w:rPr>
              <w:t xml:space="preserve">4-й год</w:t>
            </w:r>
          </w:p>
        </w:tc>
        <w:tc>
          <w:tcPr>
            <w:tcW w:w="821" w:type="dxa"/>
          </w:tcPr>
          <w:p>
            <w:pPr>
              <w:pStyle w:val="0"/>
              <w:jc w:val="center"/>
            </w:pPr>
            <w:r>
              <w:rPr>
                <w:sz w:val="20"/>
              </w:rPr>
              <w:t xml:space="preserve">5-й год</w:t>
            </w:r>
          </w:p>
        </w:tc>
      </w:tr>
      <w:tr>
        <w:tc>
          <w:tcPr>
            <w:tcW w:w="524" w:type="dxa"/>
          </w:tcPr>
          <w:p>
            <w:pPr>
              <w:pStyle w:val="0"/>
              <w:jc w:val="center"/>
            </w:pPr>
            <w:r>
              <w:rPr>
                <w:sz w:val="20"/>
              </w:rPr>
              <w:t xml:space="preserve">1</w:t>
            </w:r>
          </w:p>
        </w:tc>
        <w:tc>
          <w:tcPr>
            <w:tcW w:w="4038" w:type="dxa"/>
          </w:tcPr>
          <w:p>
            <w:pPr>
              <w:pStyle w:val="0"/>
              <w:jc w:val="center"/>
            </w:pPr>
            <w:r>
              <w:rPr>
                <w:sz w:val="20"/>
              </w:rPr>
              <w:t xml:space="preserve">2</w:t>
            </w:r>
          </w:p>
        </w:tc>
        <w:tc>
          <w:tcPr>
            <w:tcW w:w="1080" w:type="dxa"/>
          </w:tcPr>
          <w:p>
            <w:pPr>
              <w:pStyle w:val="0"/>
              <w:jc w:val="center"/>
            </w:pPr>
            <w:r>
              <w:rPr>
                <w:sz w:val="20"/>
              </w:rPr>
              <w:t xml:space="preserve">3</w:t>
            </w:r>
          </w:p>
        </w:tc>
        <w:tc>
          <w:tcPr>
            <w:tcW w:w="820" w:type="dxa"/>
          </w:tcPr>
          <w:p>
            <w:pPr>
              <w:pStyle w:val="0"/>
              <w:jc w:val="center"/>
            </w:pPr>
            <w:r>
              <w:rPr>
                <w:sz w:val="20"/>
              </w:rPr>
              <w:t xml:space="preserve">4</w:t>
            </w:r>
          </w:p>
        </w:tc>
        <w:tc>
          <w:tcPr>
            <w:tcW w:w="821" w:type="dxa"/>
          </w:tcPr>
          <w:p>
            <w:pPr>
              <w:pStyle w:val="0"/>
              <w:jc w:val="center"/>
            </w:pPr>
            <w:r>
              <w:rPr>
                <w:sz w:val="20"/>
              </w:rPr>
              <w:t xml:space="preserve">5</w:t>
            </w:r>
          </w:p>
        </w:tc>
        <w:tc>
          <w:tcPr>
            <w:tcW w:w="821" w:type="dxa"/>
          </w:tcPr>
          <w:p>
            <w:pPr>
              <w:pStyle w:val="0"/>
              <w:jc w:val="center"/>
            </w:pPr>
            <w:r>
              <w:rPr>
                <w:sz w:val="20"/>
              </w:rPr>
              <w:t xml:space="preserve">6</w:t>
            </w:r>
          </w:p>
        </w:tc>
        <w:tc>
          <w:tcPr>
            <w:tcW w:w="820" w:type="dxa"/>
          </w:tcPr>
          <w:p>
            <w:pPr>
              <w:pStyle w:val="0"/>
              <w:jc w:val="center"/>
            </w:pPr>
            <w:r>
              <w:rPr>
                <w:sz w:val="20"/>
              </w:rPr>
              <w:t xml:space="preserve">7</w:t>
            </w:r>
          </w:p>
        </w:tc>
        <w:tc>
          <w:tcPr>
            <w:tcW w:w="821" w:type="dxa"/>
          </w:tcPr>
          <w:p>
            <w:pPr>
              <w:pStyle w:val="0"/>
              <w:jc w:val="center"/>
            </w:pPr>
            <w:r>
              <w:rPr>
                <w:sz w:val="20"/>
              </w:rPr>
              <w:t xml:space="preserve">8</w:t>
            </w:r>
          </w:p>
        </w:tc>
        <w:tc>
          <w:tcPr>
            <w:tcW w:w="821" w:type="dxa"/>
          </w:tcPr>
          <w:p>
            <w:pPr>
              <w:pStyle w:val="0"/>
              <w:jc w:val="center"/>
            </w:pPr>
            <w:r>
              <w:rPr>
                <w:sz w:val="20"/>
              </w:rPr>
              <w:t xml:space="preserve">9</w:t>
            </w:r>
          </w:p>
        </w:tc>
        <w:tc>
          <w:tcPr>
            <w:tcW w:w="821" w:type="dxa"/>
          </w:tcPr>
          <w:p>
            <w:pPr>
              <w:pStyle w:val="0"/>
              <w:jc w:val="center"/>
            </w:pPr>
            <w:r>
              <w:rPr>
                <w:sz w:val="20"/>
              </w:rPr>
              <w:t xml:space="preserve">10</w:t>
            </w:r>
          </w:p>
        </w:tc>
      </w:tr>
      <w:tr>
        <w:tc>
          <w:tcPr>
            <w:tcW w:w="524" w:type="dxa"/>
          </w:tcPr>
          <w:p>
            <w:pPr>
              <w:pStyle w:val="0"/>
              <w:jc w:val="center"/>
            </w:pPr>
            <w:r>
              <w:rPr>
                <w:sz w:val="20"/>
              </w:rPr>
              <w:t xml:space="preserve">1</w:t>
            </w:r>
          </w:p>
        </w:tc>
        <w:tc>
          <w:tcPr>
            <w:tcW w:w="4038" w:type="dxa"/>
          </w:tcPr>
          <w:p>
            <w:pPr>
              <w:pStyle w:val="0"/>
            </w:pPr>
            <w:r>
              <w:rPr>
                <w:sz w:val="20"/>
              </w:rPr>
              <w:t xml:space="preserve">База инвестированного капитала</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2</w:t>
            </w:r>
          </w:p>
        </w:tc>
        <w:tc>
          <w:tcPr>
            <w:tcW w:w="4038" w:type="dxa"/>
          </w:tcPr>
          <w:p>
            <w:pPr>
              <w:pStyle w:val="0"/>
            </w:pPr>
            <w:r>
              <w:rPr>
                <w:sz w:val="20"/>
              </w:rPr>
              <w:t xml:space="preserve">Инвестированный капитал</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2.1</w:t>
            </w:r>
          </w:p>
        </w:tc>
        <w:tc>
          <w:tcPr>
            <w:tcW w:w="4038" w:type="dxa"/>
          </w:tcPr>
          <w:p>
            <w:pPr>
              <w:pStyle w:val="0"/>
            </w:pPr>
            <w:r>
              <w:rPr>
                <w:sz w:val="20"/>
              </w:rPr>
              <w:t xml:space="preserve">Капитальные вложения</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2.2</w:t>
            </w:r>
          </w:p>
        </w:tc>
        <w:tc>
          <w:tcPr>
            <w:tcW w:w="4038" w:type="dxa"/>
          </w:tcPr>
          <w:p>
            <w:pPr>
              <w:pStyle w:val="0"/>
            </w:pPr>
            <w:r>
              <w:rPr>
                <w:sz w:val="20"/>
              </w:rPr>
              <w:t xml:space="preserve">Изменение количества активов</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2.3</w:t>
            </w:r>
          </w:p>
        </w:tc>
        <w:tc>
          <w:tcPr>
            <w:tcW w:w="4038" w:type="dxa"/>
          </w:tcPr>
          <w:p>
            <w:pPr>
              <w:pStyle w:val="0"/>
            </w:pPr>
            <w:r>
              <w:rPr>
                <w:sz w:val="20"/>
              </w:rPr>
              <w:t xml:space="preserve">Плата за подключение</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2.4</w:t>
            </w:r>
          </w:p>
        </w:tc>
        <w:tc>
          <w:tcPr>
            <w:tcW w:w="4038" w:type="dxa"/>
          </w:tcPr>
          <w:p>
            <w:pPr>
              <w:pStyle w:val="0"/>
            </w:pPr>
            <w:r>
              <w:rPr>
                <w:sz w:val="20"/>
              </w:rPr>
              <w:t xml:space="preserve">Средства бюджетов и гос. корпораций</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3</w:t>
            </w:r>
          </w:p>
        </w:tc>
        <w:tc>
          <w:tcPr>
            <w:tcW w:w="4038" w:type="dxa"/>
          </w:tcPr>
          <w:p>
            <w:pPr>
              <w:pStyle w:val="0"/>
            </w:pPr>
            <w:r>
              <w:rPr>
                <w:sz w:val="20"/>
              </w:rPr>
              <w:t xml:space="preserve">Стоимость объектов, выведенных из эксплуатации</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4</w:t>
            </w:r>
          </w:p>
        </w:tc>
        <w:tc>
          <w:tcPr>
            <w:tcW w:w="4038" w:type="dxa"/>
          </w:tcPr>
          <w:p>
            <w:pPr>
              <w:pStyle w:val="0"/>
            </w:pPr>
            <w:r>
              <w:rPr>
                <w:sz w:val="20"/>
              </w:rPr>
              <w:t xml:space="preserve">Корректировка на изменение доходности государственных обязательств</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4.1</w:t>
            </w:r>
          </w:p>
        </w:tc>
        <w:tc>
          <w:tcPr>
            <w:tcW w:w="4038" w:type="dxa"/>
          </w:tcPr>
          <w:p>
            <w:pPr>
              <w:pStyle w:val="0"/>
            </w:pPr>
            <w:r>
              <w:rPr>
                <w:sz w:val="20"/>
              </w:rPr>
              <w:t xml:space="preserve">Доходность, учтенная при установлении тарифов</w:t>
            </w:r>
          </w:p>
        </w:tc>
        <w:tc>
          <w:tcPr>
            <w:tcW w:w="1080" w:type="dxa"/>
          </w:tcPr>
          <w:p>
            <w:pPr>
              <w:pStyle w:val="0"/>
              <w:jc w:val="center"/>
            </w:pPr>
            <w:r>
              <w:rPr>
                <w:sz w:val="20"/>
              </w:rPr>
              <w:t xml:space="preserve">%</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4.2</w:t>
            </w:r>
          </w:p>
        </w:tc>
        <w:tc>
          <w:tcPr>
            <w:tcW w:w="4038" w:type="dxa"/>
          </w:tcPr>
          <w:p>
            <w:pPr>
              <w:pStyle w:val="0"/>
            </w:pPr>
            <w:r>
              <w:rPr>
                <w:sz w:val="20"/>
              </w:rPr>
              <w:t xml:space="preserve">Фактическая доходность</w:t>
            </w:r>
          </w:p>
        </w:tc>
        <w:tc>
          <w:tcPr>
            <w:tcW w:w="1080" w:type="dxa"/>
          </w:tcPr>
          <w:p>
            <w:pPr>
              <w:pStyle w:val="0"/>
              <w:jc w:val="center"/>
            </w:pPr>
            <w:r>
              <w:rPr>
                <w:sz w:val="20"/>
              </w:rPr>
              <w:t xml:space="preserve">%</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6.11</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pStyle w:val="0"/>
        <w:jc w:val="both"/>
      </w:pPr>
      <w:r>
        <w:rPr>
          <w:sz w:val="20"/>
        </w:rPr>
      </w:r>
    </w:p>
    <w:p>
      <w:pPr>
        <w:pStyle w:val="0"/>
        <w:jc w:val="center"/>
      </w:pPr>
      <w:r>
        <w:rPr>
          <w:sz w:val="20"/>
        </w:rPr>
        <w:t xml:space="preserve">Полная база инвестированного капитала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4038"/>
        <w:gridCol w:w="1080"/>
        <w:gridCol w:w="820"/>
        <w:gridCol w:w="821"/>
        <w:gridCol w:w="821"/>
        <w:gridCol w:w="820"/>
        <w:gridCol w:w="821"/>
        <w:gridCol w:w="821"/>
        <w:gridCol w:w="821"/>
      </w:tblGrid>
      <w:tr>
        <w:tc>
          <w:tcPr>
            <w:tcW w:w="524" w:type="dxa"/>
          </w:tcPr>
          <w:p>
            <w:pPr>
              <w:pStyle w:val="0"/>
              <w:jc w:val="center"/>
            </w:pPr>
            <w:r>
              <w:rPr>
                <w:sz w:val="20"/>
              </w:rPr>
              <w:t xml:space="preserve">N п/п</w:t>
            </w:r>
          </w:p>
        </w:tc>
        <w:tc>
          <w:tcPr>
            <w:tcW w:w="4038" w:type="dxa"/>
          </w:tcPr>
          <w:p>
            <w:pPr>
              <w:pStyle w:val="0"/>
              <w:jc w:val="center"/>
            </w:pPr>
            <w:r>
              <w:rPr>
                <w:sz w:val="20"/>
              </w:rPr>
              <w:t xml:space="preserve">Наименование</w:t>
            </w:r>
          </w:p>
        </w:tc>
        <w:tc>
          <w:tcPr>
            <w:tcW w:w="1080" w:type="dxa"/>
          </w:tcPr>
          <w:p>
            <w:pPr>
              <w:pStyle w:val="0"/>
              <w:jc w:val="center"/>
            </w:pPr>
            <w:r>
              <w:rPr>
                <w:sz w:val="20"/>
              </w:rPr>
              <w:t xml:space="preserve">Единица измерений</w:t>
            </w:r>
          </w:p>
        </w:tc>
        <w:tc>
          <w:tcPr>
            <w:tcW w:w="820" w:type="dxa"/>
          </w:tcPr>
          <w:p>
            <w:pPr>
              <w:pStyle w:val="0"/>
              <w:jc w:val="center"/>
            </w:pPr>
            <w:r>
              <w:rPr>
                <w:sz w:val="20"/>
              </w:rPr>
              <w:t xml:space="preserve">Истекший год (i-2)</w:t>
            </w:r>
          </w:p>
        </w:tc>
        <w:tc>
          <w:tcPr>
            <w:tcW w:w="821" w:type="dxa"/>
          </w:tcPr>
          <w:p>
            <w:pPr>
              <w:pStyle w:val="0"/>
              <w:jc w:val="center"/>
            </w:pPr>
            <w:r>
              <w:rPr>
                <w:sz w:val="20"/>
              </w:rPr>
              <w:t xml:space="preserve">Текущий год (i-1)</w:t>
            </w:r>
          </w:p>
        </w:tc>
        <w:tc>
          <w:tcPr>
            <w:tcW w:w="821" w:type="dxa"/>
          </w:tcPr>
          <w:p>
            <w:pPr>
              <w:pStyle w:val="0"/>
              <w:jc w:val="center"/>
            </w:pPr>
            <w:r>
              <w:rPr>
                <w:sz w:val="20"/>
              </w:rPr>
              <w:t xml:space="preserve">1-й год</w:t>
            </w:r>
          </w:p>
        </w:tc>
        <w:tc>
          <w:tcPr>
            <w:tcW w:w="820" w:type="dxa"/>
          </w:tcPr>
          <w:p>
            <w:pPr>
              <w:pStyle w:val="0"/>
              <w:jc w:val="center"/>
            </w:pPr>
            <w:r>
              <w:rPr>
                <w:sz w:val="20"/>
              </w:rPr>
              <w:t xml:space="preserve">2-й год</w:t>
            </w:r>
          </w:p>
        </w:tc>
        <w:tc>
          <w:tcPr>
            <w:tcW w:w="821" w:type="dxa"/>
          </w:tcPr>
          <w:p>
            <w:pPr>
              <w:pStyle w:val="0"/>
              <w:jc w:val="center"/>
            </w:pPr>
            <w:r>
              <w:rPr>
                <w:sz w:val="20"/>
              </w:rPr>
              <w:t xml:space="preserve">3-й год</w:t>
            </w:r>
          </w:p>
        </w:tc>
        <w:tc>
          <w:tcPr>
            <w:tcW w:w="821" w:type="dxa"/>
          </w:tcPr>
          <w:p>
            <w:pPr>
              <w:pStyle w:val="0"/>
              <w:jc w:val="center"/>
            </w:pPr>
            <w:r>
              <w:rPr>
                <w:sz w:val="20"/>
              </w:rPr>
              <w:t xml:space="preserve">4-й год</w:t>
            </w:r>
          </w:p>
        </w:tc>
        <w:tc>
          <w:tcPr>
            <w:tcW w:w="821" w:type="dxa"/>
          </w:tcPr>
          <w:p>
            <w:pPr>
              <w:pStyle w:val="0"/>
              <w:jc w:val="center"/>
            </w:pPr>
            <w:r>
              <w:rPr>
                <w:sz w:val="20"/>
              </w:rPr>
              <w:t xml:space="preserve">5-й год</w:t>
            </w:r>
          </w:p>
        </w:tc>
      </w:tr>
      <w:tr>
        <w:tc>
          <w:tcPr>
            <w:tcW w:w="524" w:type="dxa"/>
          </w:tcPr>
          <w:p>
            <w:pPr>
              <w:pStyle w:val="0"/>
              <w:jc w:val="center"/>
            </w:pPr>
            <w:r>
              <w:rPr>
                <w:sz w:val="20"/>
              </w:rPr>
              <w:t xml:space="preserve">1</w:t>
            </w:r>
          </w:p>
        </w:tc>
        <w:tc>
          <w:tcPr>
            <w:tcW w:w="4038" w:type="dxa"/>
          </w:tcPr>
          <w:p>
            <w:pPr>
              <w:pStyle w:val="0"/>
              <w:jc w:val="center"/>
            </w:pPr>
            <w:r>
              <w:rPr>
                <w:sz w:val="20"/>
              </w:rPr>
              <w:t xml:space="preserve">2</w:t>
            </w:r>
          </w:p>
        </w:tc>
        <w:tc>
          <w:tcPr>
            <w:tcW w:w="1080" w:type="dxa"/>
          </w:tcPr>
          <w:p>
            <w:pPr>
              <w:pStyle w:val="0"/>
              <w:jc w:val="center"/>
            </w:pPr>
            <w:r>
              <w:rPr>
                <w:sz w:val="20"/>
              </w:rPr>
              <w:t xml:space="preserve">3</w:t>
            </w:r>
          </w:p>
        </w:tc>
        <w:tc>
          <w:tcPr>
            <w:tcW w:w="820" w:type="dxa"/>
          </w:tcPr>
          <w:p>
            <w:pPr>
              <w:pStyle w:val="0"/>
              <w:jc w:val="center"/>
            </w:pPr>
            <w:r>
              <w:rPr>
                <w:sz w:val="20"/>
              </w:rPr>
              <w:t xml:space="preserve">4</w:t>
            </w:r>
          </w:p>
        </w:tc>
        <w:tc>
          <w:tcPr>
            <w:tcW w:w="821" w:type="dxa"/>
          </w:tcPr>
          <w:p>
            <w:pPr>
              <w:pStyle w:val="0"/>
              <w:jc w:val="center"/>
            </w:pPr>
            <w:r>
              <w:rPr>
                <w:sz w:val="20"/>
              </w:rPr>
              <w:t xml:space="preserve">5</w:t>
            </w:r>
          </w:p>
        </w:tc>
        <w:tc>
          <w:tcPr>
            <w:tcW w:w="821" w:type="dxa"/>
          </w:tcPr>
          <w:p>
            <w:pPr>
              <w:pStyle w:val="0"/>
              <w:jc w:val="center"/>
            </w:pPr>
            <w:r>
              <w:rPr>
                <w:sz w:val="20"/>
              </w:rPr>
              <w:t xml:space="preserve">6</w:t>
            </w:r>
          </w:p>
        </w:tc>
        <w:tc>
          <w:tcPr>
            <w:tcW w:w="820" w:type="dxa"/>
          </w:tcPr>
          <w:p>
            <w:pPr>
              <w:pStyle w:val="0"/>
              <w:jc w:val="center"/>
            </w:pPr>
            <w:r>
              <w:rPr>
                <w:sz w:val="20"/>
              </w:rPr>
              <w:t xml:space="preserve">7</w:t>
            </w:r>
          </w:p>
        </w:tc>
        <w:tc>
          <w:tcPr>
            <w:tcW w:w="821" w:type="dxa"/>
          </w:tcPr>
          <w:p>
            <w:pPr>
              <w:pStyle w:val="0"/>
              <w:jc w:val="center"/>
            </w:pPr>
            <w:r>
              <w:rPr>
                <w:sz w:val="20"/>
              </w:rPr>
              <w:t xml:space="preserve">8</w:t>
            </w:r>
          </w:p>
        </w:tc>
        <w:tc>
          <w:tcPr>
            <w:tcW w:w="821" w:type="dxa"/>
          </w:tcPr>
          <w:p>
            <w:pPr>
              <w:pStyle w:val="0"/>
              <w:jc w:val="center"/>
            </w:pPr>
            <w:r>
              <w:rPr>
                <w:sz w:val="20"/>
              </w:rPr>
              <w:t xml:space="preserve">9</w:t>
            </w:r>
          </w:p>
        </w:tc>
        <w:tc>
          <w:tcPr>
            <w:tcW w:w="821" w:type="dxa"/>
          </w:tcPr>
          <w:p>
            <w:pPr>
              <w:pStyle w:val="0"/>
              <w:jc w:val="center"/>
            </w:pPr>
            <w:r>
              <w:rPr>
                <w:sz w:val="20"/>
              </w:rPr>
              <w:t xml:space="preserve">10</w:t>
            </w:r>
          </w:p>
        </w:tc>
      </w:tr>
      <w:tr>
        <w:tc>
          <w:tcPr>
            <w:tcW w:w="524" w:type="dxa"/>
          </w:tcPr>
          <w:p>
            <w:pPr>
              <w:pStyle w:val="0"/>
              <w:jc w:val="center"/>
            </w:pPr>
            <w:r>
              <w:rPr>
                <w:sz w:val="20"/>
              </w:rPr>
              <w:t xml:space="preserve">1</w:t>
            </w:r>
          </w:p>
        </w:tc>
        <w:tc>
          <w:tcPr>
            <w:tcW w:w="4038" w:type="dxa"/>
          </w:tcPr>
          <w:p>
            <w:pPr>
              <w:pStyle w:val="0"/>
              <w:jc w:val="both"/>
            </w:pPr>
            <w:r>
              <w:rPr>
                <w:sz w:val="20"/>
              </w:rPr>
              <w:t xml:space="preserve">Полная величина инвестированного капитала</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2</w:t>
            </w:r>
          </w:p>
        </w:tc>
        <w:tc>
          <w:tcPr>
            <w:tcW w:w="4038" w:type="dxa"/>
          </w:tcPr>
          <w:p>
            <w:pPr>
              <w:pStyle w:val="0"/>
              <w:jc w:val="both"/>
            </w:pPr>
            <w:r>
              <w:rPr>
                <w:sz w:val="20"/>
              </w:rPr>
              <w:t xml:space="preserve">Инвестированный капитал</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2.1</w:t>
            </w:r>
          </w:p>
        </w:tc>
        <w:tc>
          <w:tcPr>
            <w:tcW w:w="4038" w:type="dxa"/>
          </w:tcPr>
          <w:p>
            <w:pPr>
              <w:pStyle w:val="0"/>
            </w:pPr>
            <w:r>
              <w:rPr>
                <w:sz w:val="20"/>
              </w:rPr>
              <w:t xml:space="preserve">Капитальные вложения</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2.2</w:t>
            </w:r>
          </w:p>
        </w:tc>
        <w:tc>
          <w:tcPr>
            <w:tcW w:w="4038" w:type="dxa"/>
          </w:tcPr>
          <w:p>
            <w:pPr>
              <w:pStyle w:val="0"/>
            </w:pPr>
            <w:r>
              <w:rPr>
                <w:sz w:val="20"/>
              </w:rPr>
              <w:t xml:space="preserve">Изменение количества активов (полной стоимости)</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2.3</w:t>
            </w:r>
          </w:p>
        </w:tc>
        <w:tc>
          <w:tcPr>
            <w:tcW w:w="4038" w:type="dxa"/>
          </w:tcPr>
          <w:p>
            <w:pPr>
              <w:pStyle w:val="0"/>
            </w:pPr>
            <w:r>
              <w:rPr>
                <w:sz w:val="20"/>
              </w:rPr>
              <w:t xml:space="preserve">Плата за подключение</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2.4</w:t>
            </w:r>
          </w:p>
        </w:tc>
        <w:tc>
          <w:tcPr>
            <w:tcW w:w="4038" w:type="dxa"/>
          </w:tcPr>
          <w:p>
            <w:pPr>
              <w:pStyle w:val="0"/>
            </w:pPr>
            <w:r>
              <w:rPr>
                <w:sz w:val="20"/>
              </w:rPr>
              <w:t xml:space="preserve">Средства бюджетов и госкорпораций</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3</w:t>
            </w:r>
          </w:p>
        </w:tc>
        <w:tc>
          <w:tcPr>
            <w:tcW w:w="4038" w:type="dxa"/>
          </w:tcPr>
          <w:p>
            <w:pPr>
              <w:pStyle w:val="0"/>
              <w:jc w:val="both"/>
            </w:pPr>
            <w:r>
              <w:rPr>
                <w:sz w:val="20"/>
              </w:rPr>
              <w:t xml:space="preserve">Полная стоимость объектов, выведенных из эксплуатации</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4</w:t>
            </w:r>
          </w:p>
        </w:tc>
        <w:tc>
          <w:tcPr>
            <w:tcW w:w="4038" w:type="dxa"/>
          </w:tcPr>
          <w:p>
            <w:pPr>
              <w:pStyle w:val="0"/>
              <w:jc w:val="both"/>
            </w:pPr>
            <w:r>
              <w:rPr>
                <w:sz w:val="20"/>
              </w:rPr>
              <w:t xml:space="preserve">Корректировка на изменение доходности государственных обязательств</w:t>
            </w:r>
          </w:p>
        </w:tc>
        <w:tc>
          <w:tcPr>
            <w:tcW w:w="1080" w:type="dxa"/>
          </w:tcPr>
          <w:p>
            <w:pPr>
              <w:pStyle w:val="0"/>
              <w:jc w:val="center"/>
            </w:pPr>
            <w:r>
              <w:rPr>
                <w:sz w:val="20"/>
              </w:rPr>
              <w:t xml:space="preserve">тыс. руб.</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4.1</w:t>
            </w:r>
          </w:p>
        </w:tc>
        <w:tc>
          <w:tcPr>
            <w:tcW w:w="4038" w:type="dxa"/>
          </w:tcPr>
          <w:p>
            <w:pPr>
              <w:pStyle w:val="0"/>
            </w:pPr>
            <w:r>
              <w:rPr>
                <w:sz w:val="20"/>
              </w:rPr>
              <w:t xml:space="preserve">Доходность, учтенная при установлении тарифов</w:t>
            </w:r>
          </w:p>
        </w:tc>
        <w:tc>
          <w:tcPr>
            <w:tcW w:w="1080" w:type="dxa"/>
          </w:tcPr>
          <w:p>
            <w:pPr>
              <w:pStyle w:val="0"/>
              <w:jc w:val="center"/>
            </w:pPr>
            <w:r>
              <w:rPr>
                <w:sz w:val="20"/>
              </w:rPr>
              <w:t xml:space="preserve">%</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r>
        <w:tc>
          <w:tcPr>
            <w:tcW w:w="524" w:type="dxa"/>
          </w:tcPr>
          <w:p>
            <w:pPr>
              <w:pStyle w:val="0"/>
              <w:jc w:val="center"/>
            </w:pPr>
            <w:r>
              <w:rPr>
                <w:sz w:val="20"/>
              </w:rPr>
              <w:t xml:space="preserve">4.2</w:t>
            </w:r>
          </w:p>
        </w:tc>
        <w:tc>
          <w:tcPr>
            <w:tcW w:w="4038" w:type="dxa"/>
          </w:tcPr>
          <w:p>
            <w:pPr>
              <w:pStyle w:val="0"/>
            </w:pPr>
            <w:r>
              <w:rPr>
                <w:sz w:val="20"/>
              </w:rPr>
              <w:t xml:space="preserve">Фактическая доходность</w:t>
            </w:r>
          </w:p>
        </w:tc>
        <w:tc>
          <w:tcPr>
            <w:tcW w:w="1080" w:type="dxa"/>
          </w:tcPr>
          <w:p>
            <w:pPr>
              <w:pStyle w:val="0"/>
              <w:jc w:val="center"/>
            </w:pPr>
            <w:r>
              <w:rPr>
                <w:sz w:val="20"/>
              </w:rPr>
              <w:t xml:space="preserve">%</w:t>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0" w:type="dxa"/>
          </w:tcPr>
          <w:p>
            <w:pPr>
              <w:pStyle w:val="0"/>
            </w:pPr>
            <w:r>
              <w:rPr>
                <w:sz w:val="20"/>
              </w:rPr>
            </w:r>
          </w:p>
        </w:tc>
        <w:tc>
          <w:tcPr>
            <w:tcW w:w="821" w:type="dxa"/>
          </w:tcPr>
          <w:p>
            <w:pPr>
              <w:pStyle w:val="0"/>
            </w:pPr>
            <w:r>
              <w:rPr>
                <w:sz w:val="20"/>
              </w:rPr>
            </w:r>
          </w:p>
        </w:tc>
        <w:tc>
          <w:tcPr>
            <w:tcW w:w="821" w:type="dxa"/>
          </w:tcPr>
          <w:p>
            <w:pPr>
              <w:pStyle w:val="0"/>
            </w:pPr>
            <w:r>
              <w:rPr>
                <w:sz w:val="20"/>
              </w:rPr>
            </w:r>
          </w:p>
        </w:tc>
        <w:tc>
          <w:tcPr>
            <w:tcW w:w="82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14"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color w:val="392c69"/>
              </w:rPr>
              <w:t xml:space="preserve"> ФСТ России от 24.11.2014 N 2054-э)</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Расчет тарифа методом индексации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98"/>
        <w:gridCol w:w="3458"/>
        <w:gridCol w:w="1077"/>
        <w:gridCol w:w="737"/>
        <w:gridCol w:w="737"/>
        <w:gridCol w:w="680"/>
        <w:gridCol w:w="850"/>
        <w:gridCol w:w="794"/>
        <w:gridCol w:w="794"/>
        <w:gridCol w:w="850"/>
        <w:gridCol w:w="737"/>
        <w:gridCol w:w="737"/>
      </w:tblGrid>
      <w:tr>
        <w:tc>
          <w:tcPr>
            <w:tcW w:w="898" w:type="dxa"/>
            <w:vMerge w:val="restart"/>
          </w:tcPr>
          <w:p>
            <w:pPr>
              <w:pStyle w:val="0"/>
              <w:jc w:val="center"/>
            </w:pPr>
            <w:r>
              <w:rPr>
                <w:sz w:val="20"/>
              </w:rPr>
              <w:t xml:space="preserve">N п/п</w:t>
            </w:r>
          </w:p>
        </w:tc>
        <w:tc>
          <w:tcPr>
            <w:tcW w:w="3458" w:type="dxa"/>
            <w:vMerge w:val="restart"/>
          </w:tcPr>
          <w:p>
            <w:pPr>
              <w:pStyle w:val="0"/>
              <w:jc w:val="center"/>
            </w:pPr>
            <w:r>
              <w:rPr>
                <w:sz w:val="20"/>
              </w:rPr>
              <w:t xml:space="preserve">Наименование</w:t>
            </w:r>
          </w:p>
        </w:tc>
        <w:tc>
          <w:tcPr>
            <w:tcW w:w="1077" w:type="dxa"/>
            <w:vMerge w:val="restart"/>
          </w:tcPr>
          <w:p>
            <w:pPr>
              <w:pStyle w:val="0"/>
              <w:jc w:val="center"/>
            </w:pPr>
            <w:r>
              <w:rPr>
                <w:sz w:val="20"/>
              </w:rPr>
              <w:t xml:space="preserve">Единица измерений</w:t>
            </w:r>
          </w:p>
        </w:tc>
        <w:tc>
          <w:tcPr>
            <w:gridSpan w:val="2"/>
            <w:tcW w:w="1474" w:type="dxa"/>
          </w:tcPr>
          <w:p>
            <w:pPr>
              <w:pStyle w:val="0"/>
              <w:jc w:val="center"/>
            </w:pPr>
            <w:r>
              <w:rPr>
                <w:sz w:val="20"/>
              </w:rPr>
              <w:t xml:space="preserve">Истекший год (i-2)</w:t>
            </w:r>
          </w:p>
        </w:tc>
        <w:tc>
          <w:tcPr>
            <w:gridSpan w:val="2"/>
            <w:tcW w:w="1530" w:type="dxa"/>
          </w:tcPr>
          <w:p>
            <w:pPr>
              <w:pStyle w:val="0"/>
              <w:jc w:val="center"/>
            </w:pPr>
            <w:r>
              <w:rPr>
                <w:sz w:val="20"/>
              </w:rPr>
              <w:t xml:space="preserve">Текущий год (i-1)</w:t>
            </w:r>
          </w:p>
        </w:tc>
        <w:tc>
          <w:tcPr>
            <w:tcW w:w="794" w:type="dxa"/>
            <w:vMerge w:val="restart"/>
          </w:tcPr>
          <w:p>
            <w:pPr>
              <w:pStyle w:val="0"/>
              <w:jc w:val="center"/>
            </w:pPr>
            <w:r>
              <w:rPr>
                <w:sz w:val="20"/>
              </w:rPr>
              <w:t xml:space="preserve">1-й год</w:t>
            </w:r>
          </w:p>
        </w:tc>
        <w:tc>
          <w:tcPr>
            <w:tcW w:w="794" w:type="dxa"/>
            <w:vMerge w:val="restart"/>
          </w:tcPr>
          <w:p>
            <w:pPr>
              <w:pStyle w:val="0"/>
              <w:jc w:val="center"/>
            </w:pPr>
            <w:r>
              <w:rPr>
                <w:sz w:val="20"/>
              </w:rPr>
              <w:t xml:space="preserve">2-й год</w:t>
            </w:r>
          </w:p>
        </w:tc>
        <w:tc>
          <w:tcPr>
            <w:tcW w:w="850" w:type="dxa"/>
            <w:vMerge w:val="restart"/>
          </w:tcPr>
          <w:p>
            <w:pPr>
              <w:pStyle w:val="0"/>
              <w:jc w:val="center"/>
            </w:pPr>
            <w:r>
              <w:rPr>
                <w:sz w:val="20"/>
              </w:rPr>
              <w:t xml:space="preserve">3-й год</w:t>
            </w:r>
          </w:p>
        </w:tc>
        <w:tc>
          <w:tcPr>
            <w:tcW w:w="737" w:type="dxa"/>
            <w:vMerge w:val="restart"/>
          </w:tcPr>
          <w:p>
            <w:pPr>
              <w:pStyle w:val="0"/>
              <w:jc w:val="center"/>
            </w:pPr>
            <w:r>
              <w:rPr>
                <w:sz w:val="20"/>
              </w:rPr>
              <w:t xml:space="preserve">4-й год</w:t>
            </w:r>
          </w:p>
        </w:tc>
        <w:tc>
          <w:tcPr>
            <w:tcW w:w="737" w:type="dxa"/>
            <w:vMerge w:val="restart"/>
          </w:tcPr>
          <w:p>
            <w:pPr>
              <w:pStyle w:val="0"/>
              <w:jc w:val="center"/>
            </w:pPr>
            <w:r>
              <w:rPr>
                <w:sz w:val="20"/>
              </w:rPr>
              <w:t xml:space="preserve">5-й год</w:t>
            </w:r>
          </w:p>
        </w:tc>
      </w:tr>
      <w:tr>
        <w:tc>
          <w:tcPr>
            <w:vMerge w:val="continue"/>
          </w:tcPr>
          <w:p/>
        </w:tc>
        <w:tc>
          <w:tcPr>
            <w:vMerge w:val="continue"/>
          </w:tcPr>
          <w:p/>
        </w:tc>
        <w:tc>
          <w:tcPr>
            <w:vMerge w:val="continue"/>
          </w:tcP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680" w:type="dxa"/>
          </w:tcPr>
          <w:p>
            <w:pPr>
              <w:pStyle w:val="0"/>
              <w:jc w:val="center"/>
            </w:pPr>
            <w:r>
              <w:rPr>
                <w:sz w:val="20"/>
              </w:rPr>
              <w:t xml:space="preserve">план</w:t>
            </w:r>
          </w:p>
        </w:tc>
        <w:tc>
          <w:tcPr>
            <w:tcW w:w="850" w:type="dxa"/>
          </w:tcPr>
          <w:p>
            <w:pPr>
              <w:pStyle w:val="0"/>
              <w:jc w:val="center"/>
            </w:pPr>
            <w:r>
              <w:rPr>
                <w:sz w:val="20"/>
              </w:rPr>
              <w:t xml:space="preserve">ожид</w:t>
            </w:r>
          </w:p>
        </w:tc>
        <w:tc>
          <w:tcPr>
            <w:vMerge w:val="continue"/>
          </w:tcPr>
          <w:p/>
        </w:tc>
        <w:tc>
          <w:tcPr>
            <w:vMerge w:val="continue"/>
          </w:tcPr>
          <w:p/>
        </w:tc>
        <w:tc>
          <w:tcPr>
            <w:vMerge w:val="continue"/>
          </w:tcPr>
          <w:p/>
        </w:tc>
        <w:tc>
          <w:tcPr>
            <w:vMerge w:val="continue"/>
          </w:tcPr>
          <w:p/>
        </w:tc>
        <w:tc>
          <w:tcPr>
            <w:vMerge w:val="continue"/>
          </w:tcPr>
          <w:p/>
        </w:tc>
      </w:tr>
      <w:tr>
        <w:tc>
          <w:tcPr>
            <w:tcW w:w="898" w:type="dxa"/>
          </w:tcPr>
          <w:p>
            <w:pPr>
              <w:pStyle w:val="0"/>
              <w:jc w:val="center"/>
            </w:pPr>
            <w:r>
              <w:rPr>
                <w:sz w:val="20"/>
              </w:rPr>
              <w:t xml:space="preserve">1</w:t>
            </w:r>
          </w:p>
        </w:tc>
        <w:tc>
          <w:tcPr>
            <w:tcW w:w="3458" w:type="dxa"/>
          </w:tcPr>
          <w:p>
            <w:pPr>
              <w:pStyle w:val="0"/>
              <w:jc w:val="center"/>
            </w:pPr>
            <w:r>
              <w:rPr>
                <w:sz w:val="20"/>
              </w:rPr>
              <w:t xml:space="preserve">2</w:t>
            </w:r>
          </w:p>
        </w:tc>
        <w:tc>
          <w:tcPr>
            <w:tcW w:w="1077" w:type="dxa"/>
          </w:tcPr>
          <w:p>
            <w:pPr>
              <w:pStyle w:val="0"/>
              <w:jc w:val="center"/>
            </w:pPr>
            <w:r>
              <w:rPr>
                <w:sz w:val="20"/>
              </w:rPr>
              <w:t xml:space="preserve">3</w:t>
            </w:r>
          </w:p>
        </w:tc>
        <w:tc>
          <w:tcPr>
            <w:tcW w:w="737" w:type="dxa"/>
          </w:tcPr>
          <w:p>
            <w:pPr>
              <w:pStyle w:val="0"/>
              <w:jc w:val="center"/>
            </w:pPr>
            <w:r>
              <w:rPr>
                <w:sz w:val="20"/>
              </w:rPr>
              <w:t xml:space="preserve">4</w:t>
            </w:r>
          </w:p>
        </w:tc>
        <w:tc>
          <w:tcPr>
            <w:tcW w:w="737" w:type="dxa"/>
          </w:tcPr>
          <w:p>
            <w:pPr>
              <w:pStyle w:val="0"/>
              <w:jc w:val="center"/>
            </w:pPr>
            <w:r>
              <w:rPr>
                <w:sz w:val="20"/>
              </w:rPr>
              <w:t xml:space="preserve">5</w:t>
            </w:r>
          </w:p>
        </w:tc>
        <w:tc>
          <w:tcPr>
            <w:tcW w:w="680" w:type="dxa"/>
          </w:tcPr>
          <w:p>
            <w:pPr>
              <w:pStyle w:val="0"/>
              <w:jc w:val="center"/>
            </w:pPr>
            <w:r>
              <w:rPr>
                <w:sz w:val="20"/>
              </w:rPr>
              <w:t xml:space="preserve">6</w:t>
            </w:r>
          </w:p>
        </w:tc>
        <w:tc>
          <w:tcPr>
            <w:tcW w:w="850" w:type="dxa"/>
          </w:tcPr>
          <w:p>
            <w:pPr>
              <w:pStyle w:val="0"/>
              <w:jc w:val="center"/>
            </w:pPr>
            <w:r>
              <w:rPr>
                <w:sz w:val="20"/>
              </w:rPr>
              <w:t xml:space="preserve">7</w:t>
            </w:r>
          </w:p>
        </w:tc>
        <w:tc>
          <w:tcPr>
            <w:tcW w:w="794" w:type="dxa"/>
          </w:tcPr>
          <w:p>
            <w:pPr>
              <w:pStyle w:val="0"/>
              <w:jc w:val="center"/>
            </w:pPr>
            <w:r>
              <w:rPr>
                <w:sz w:val="20"/>
              </w:rPr>
              <w:t xml:space="preserve">8</w:t>
            </w:r>
          </w:p>
        </w:tc>
        <w:tc>
          <w:tcPr>
            <w:tcW w:w="794" w:type="dxa"/>
          </w:tcPr>
          <w:p>
            <w:pPr>
              <w:pStyle w:val="0"/>
              <w:jc w:val="center"/>
            </w:pPr>
            <w:r>
              <w:rPr>
                <w:sz w:val="20"/>
              </w:rPr>
              <w:t xml:space="preserve">9</w:t>
            </w:r>
          </w:p>
        </w:tc>
        <w:tc>
          <w:tcPr>
            <w:tcW w:w="850"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r>
      <w:tr>
        <w:tc>
          <w:tcPr>
            <w:tcW w:w="898" w:type="dxa"/>
            <w:vAlign w:val="center"/>
          </w:tcPr>
          <w:p>
            <w:pPr>
              <w:pStyle w:val="0"/>
            </w:pPr>
            <w:r>
              <w:rPr>
                <w:sz w:val="20"/>
              </w:rPr>
              <w:t xml:space="preserve">1</w:t>
            </w:r>
          </w:p>
        </w:tc>
        <w:tc>
          <w:tcPr>
            <w:tcW w:w="3458" w:type="dxa"/>
          </w:tcPr>
          <w:p>
            <w:pPr>
              <w:pStyle w:val="0"/>
            </w:pPr>
            <w:r>
              <w:rPr>
                <w:sz w:val="20"/>
              </w:rPr>
              <w:t xml:space="preserve">Необходимая валовая выручка</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1.1</w:t>
            </w:r>
          </w:p>
        </w:tc>
        <w:tc>
          <w:tcPr>
            <w:tcW w:w="3458" w:type="dxa"/>
          </w:tcPr>
          <w:p>
            <w:pPr>
              <w:pStyle w:val="0"/>
              <w:ind w:firstLine="182"/>
            </w:pPr>
            <w:r>
              <w:rPr>
                <w:sz w:val="20"/>
              </w:rPr>
              <w:t xml:space="preserve">Текущие расходы</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1.1.1</w:t>
            </w:r>
          </w:p>
        </w:tc>
        <w:tc>
          <w:tcPr>
            <w:tcW w:w="3458" w:type="dxa"/>
          </w:tcPr>
          <w:p>
            <w:pPr>
              <w:pStyle w:val="0"/>
              <w:ind w:firstLine="362"/>
              <w:jc w:val="both"/>
            </w:pPr>
            <w:r>
              <w:rPr>
                <w:sz w:val="20"/>
              </w:rPr>
              <w:t xml:space="preserve">Операционные расходы</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1.1.1.1</w:t>
            </w:r>
          </w:p>
        </w:tc>
        <w:tc>
          <w:tcPr>
            <w:tcW w:w="3458" w:type="dxa"/>
          </w:tcPr>
          <w:p>
            <w:pPr>
              <w:pStyle w:val="0"/>
              <w:ind w:firstLine="540"/>
              <w:jc w:val="both"/>
            </w:pPr>
            <w:r>
              <w:rPr>
                <w:sz w:val="20"/>
              </w:rPr>
              <w:t xml:space="preserve">индекс эффективности расходов</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1.1.1.2</w:t>
            </w:r>
          </w:p>
        </w:tc>
        <w:tc>
          <w:tcPr>
            <w:tcW w:w="3458" w:type="dxa"/>
          </w:tcPr>
          <w:p>
            <w:pPr>
              <w:pStyle w:val="0"/>
              <w:ind w:firstLine="540"/>
              <w:jc w:val="both"/>
            </w:pPr>
            <w:r>
              <w:rPr>
                <w:sz w:val="20"/>
              </w:rPr>
              <w:t xml:space="preserve">индекс потребительских цен</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1.1.1.3</w:t>
            </w:r>
          </w:p>
        </w:tc>
        <w:tc>
          <w:tcPr>
            <w:tcW w:w="3458" w:type="dxa"/>
          </w:tcPr>
          <w:p>
            <w:pPr>
              <w:pStyle w:val="0"/>
              <w:ind w:firstLine="540"/>
              <w:jc w:val="both"/>
            </w:pPr>
            <w:r>
              <w:rPr>
                <w:sz w:val="20"/>
              </w:rPr>
              <w:t xml:space="preserve">индекс количества активов</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1.1.2</w:t>
            </w:r>
          </w:p>
        </w:tc>
        <w:tc>
          <w:tcPr>
            <w:tcW w:w="3458" w:type="dxa"/>
          </w:tcPr>
          <w:p>
            <w:pPr>
              <w:pStyle w:val="0"/>
              <w:ind w:firstLine="362"/>
              <w:jc w:val="both"/>
            </w:pPr>
            <w:r>
              <w:rPr>
                <w:sz w:val="20"/>
              </w:rPr>
              <w:t xml:space="preserve">Расходы на электрическую энергию</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1.1.3</w:t>
            </w:r>
          </w:p>
        </w:tc>
        <w:tc>
          <w:tcPr>
            <w:tcW w:w="3458" w:type="dxa"/>
          </w:tcPr>
          <w:p>
            <w:pPr>
              <w:pStyle w:val="0"/>
              <w:ind w:firstLine="362"/>
              <w:jc w:val="both"/>
            </w:pPr>
            <w:r>
              <w:rPr>
                <w:sz w:val="20"/>
              </w:rPr>
              <w:t xml:space="preserve">Неподконтрольные расходы, в том числе</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1.1.3.1</w:t>
            </w:r>
          </w:p>
        </w:tc>
        <w:tc>
          <w:tcPr>
            <w:tcW w:w="3458" w:type="dxa"/>
          </w:tcPr>
          <w:p>
            <w:pPr>
              <w:pStyle w:val="0"/>
              <w:ind w:firstLine="540"/>
              <w:jc w:val="both"/>
            </w:pPr>
            <w:r>
              <w:rPr>
                <w:sz w:val="20"/>
              </w:rPr>
              <w:t xml:space="preserve">возврат займов и кредитов</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1.1.3.2</w:t>
            </w:r>
          </w:p>
        </w:tc>
        <w:tc>
          <w:tcPr>
            <w:tcW w:w="3458" w:type="dxa"/>
          </w:tcPr>
          <w:p>
            <w:pPr>
              <w:pStyle w:val="0"/>
              <w:ind w:firstLine="540"/>
              <w:jc w:val="both"/>
            </w:pPr>
            <w:r>
              <w:rPr>
                <w:sz w:val="20"/>
              </w:rPr>
              <w:t xml:space="preserve">проценты по займам и кредитам</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1.2</w:t>
            </w:r>
          </w:p>
        </w:tc>
        <w:tc>
          <w:tcPr>
            <w:tcW w:w="3458" w:type="dxa"/>
          </w:tcPr>
          <w:p>
            <w:pPr>
              <w:pStyle w:val="0"/>
              <w:ind w:firstLine="182"/>
            </w:pPr>
            <w:r>
              <w:rPr>
                <w:sz w:val="20"/>
              </w:rPr>
              <w:t xml:space="preserve">Амортизация</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1.3</w:t>
            </w:r>
          </w:p>
        </w:tc>
        <w:tc>
          <w:tcPr>
            <w:tcW w:w="3458" w:type="dxa"/>
          </w:tcPr>
          <w:p>
            <w:pPr>
              <w:pStyle w:val="0"/>
              <w:ind w:firstLine="182"/>
            </w:pPr>
            <w:r>
              <w:rPr>
                <w:sz w:val="20"/>
              </w:rPr>
              <w:t xml:space="preserve">Нормативная прибыль</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1.3.1</w:t>
            </w:r>
          </w:p>
        </w:tc>
        <w:tc>
          <w:tcPr>
            <w:tcW w:w="3458" w:type="dxa"/>
          </w:tcPr>
          <w:p>
            <w:pPr>
              <w:pStyle w:val="0"/>
              <w:ind w:firstLine="362"/>
              <w:jc w:val="both"/>
            </w:pPr>
            <w:r>
              <w:rPr>
                <w:sz w:val="20"/>
              </w:rPr>
              <w:t xml:space="preserve">Капитальные расходы</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1.3.2</w:t>
            </w:r>
          </w:p>
        </w:tc>
        <w:tc>
          <w:tcPr>
            <w:tcW w:w="3458" w:type="dxa"/>
          </w:tcPr>
          <w:p>
            <w:pPr>
              <w:pStyle w:val="0"/>
              <w:ind w:firstLine="362"/>
              <w:jc w:val="both"/>
            </w:pPr>
            <w:r>
              <w:rPr>
                <w:sz w:val="20"/>
              </w:rPr>
              <w:t xml:space="preserve">Иные экономически обоснованные расходы на социальные нужды, в соответствии с </w:t>
            </w:r>
            <w:hyperlink w:history="0" w:anchor="P695" w:tooltip="86. Величина нормативной прибыли на i-й год, определяется в соответствии с формулой 30.1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w:r>
                <w:rPr>
                  <w:sz w:val="20"/>
                  <w:color w:val="0000ff"/>
                </w:rPr>
                <w:t xml:space="preserve">пунктом 86</w:t>
              </w:r>
            </w:hyperlink>
            <w:r>
              <w:rPr>
                <w:sz w:val="20"/>
              </w:rPr>
              <w:t xml:space="preserve"> настоящих Методических указаний</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1.4</w:t>
            </w:r>
          </w:p>
        </w:tc>
        <w:tc>
          <w:tcPr>
            <w:tcW w:w="3458" w:type="dxa"/>
          </w:tcPr>
          <w:p>
            <w:pPr>
              <w:pStyle w:val="0"/>
              <w:ind w:firstLine="182"/>
              <w:jc w:val="both"/>
            </w:pPr>
            <w:r>
              <w:rPr>
                <w:sz w:val="20"/>
              </w:rPr>
              <w:t xml:space="preserve">Расчетная предпринимательская прибыль гарантирующей организации</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2</w:t>
            </w:r>
          </w:p>
        </w:tc>
        <w:tc>
          <w:tcPr>
            <w:tcW w:w="3458" w:type="dxa"/>
          </w:tcPr>
          <w:p>
            <w:pPr>
              <w:pStyle w:val="0"/>
            </w:pPr>
            <w:r>
              <w:rPr>
                <w:sz w:val="20"/>
              </w:rPr>
              <w:t xml:space="preserve">Корректировка НВВ</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2.1</w:t>
            </w:r>
          </w:p>
        </w:tc>
        <w:tc>
          <w:tcPr>
            <w:tcW w:w="3458" w:type="dxa"/>
          </w:tcPr>
          <w:p>
            <w:pPr>
              <w:pStyle w:val="0"/>
              <w:ind w:firstLine="182"/>
              <w:jc w:val="both"/>
            </w:pPr>
            <w:r>
              <w:rPr>
                <w:sz w:val="20"/>
              </w:rPr>
              <w:t xml:space="preserve">Отклонение фактически достигнутого объема поданной воды или принятых сточных вод</w:t>
            </w:r>
          </w:p>
        </w:tc>
        <w:tc>
          <w:tcPr>
            <w:tcW w:w="1077"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2.2</w:t>
            </w:r>
          </w:p>
        </w:tc>
        <w:tc>
          <w:tcPr>
            <w:tcW w:w="3458" w:type="dxa"/>
          </w:tcPr>
          <w:p>
            <w:pPr>
              <w:pStyle w:val="0"/>
              <w:ind w:firstLine="182"/>
              <w:jc w:val="both"/>
            </w:pPr>
            <w:r>
              <w:rPr>
                <w:sz w:val="20"/>
              </w:rPr>
              <w:t xml:space="preserve">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w:t>
            </w:r>
          </w:p>
        </w:tc>
        <w:tc>
          <w:tcPr>
            <w:tcW w:w="1077"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2.3</w:t>
            </w:r>
          </w:p>
        </w:tc>
        <w:tc>
          <w:tcPr>
            <w:tcW w:w="3458" w:type="dxa"/>
          </w:tcPr>
          <w:p>
            <w:pPr>
              <w:pStyle w:val="0"/>
              <w:ind w:firstLine="182"/>
              <w:jc w:val="both"/>
            </w:pPr>
            <w:r>
              <w:rPr>
                <w:sz w:val="20"/>
              </w:rPr>
              <w:t xml:space="preserve">Отклонение фактически достигнутого уровня неподконтрольных расходов</w:t>
            </w:r>
          </w:p>
        </w:tc>
        <w:tc>
          <w:tcPr>
            <w:tcW w:w="1077"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2.4</w:t>
            </w:r>
          </w:p>
        </w:tc>
        <w:tc>
          <w:tcPr>
            <w:tcW w:w="3458" w:type="dxa"/>
          </w:tcPr>
          <w:p>
            <w:pPr>
              <w:pStyle w:val="0"/>
              <w:ind w:firstLine="182"/>
              <w:jc w:val="both"/>
            </w:pPr>
            <w:r>
              <w:rPr>
                <w:sz w:val="20"/>
              </w:rPr>
              <w:t xml:space="preserve">Ввод объектов системы водоснабжения и (или) водоотведения в эксплуатацию и изменение утвержденной инвестиционной программы</w:t>
            </w:r>
          </w:p>
        </w:tc>
        <w:tc>
          <w:tcPr>
            <w:tcW w:w="1077"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2.5</w:t>
            </w:r>
          </w:p>
        </w:tc>
        <w:tc>
          <w:tcPr>
            <w:tcW w:w="3458" w:type="dxa"/>
          </w:tcPr>
          <w:p>
            <w:pPr>
              <w:pStyle w:val="0"/>
              <w:ind w:firstLine="182"/>
              <w:jc w:val="both"/>
            </w:pPr>
            <w:r>
              <w:rPr>
                <w:sz w:val="20"/>
              </w:rPr>
              <w:t xml:space="preserve">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77"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2.6</w:t>
            </w:r>
          </w:p>
        </w:tc>
        <w:tc>
          <w:tcPr>
            <w:tcW w:w="3458" w:type="dxa"/>
          </w:tcPr>
          <w:p>
            <w:pPr>
              <w:pStyle w:val="0"/>
              <w:ind w:firstLine="182"/>
              <w:jc w:val="both"/>
            </w:pPr>
            <w:r>
              <w:rPr>
                <w:sz w:val="20"/>
              </w:rPr>
              <w:t xml:space="preserve">Изменение доходности долгосрочных государственных обязательств</w:t>
            </w:r>
          </w:p>
        </w:tc>
        <w:tc>
          <w:tcPr>
            <w:tcW w:w="1077"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3</w:t>
            </w:r>
          </w:p>
        </w:tc>
        <w:tc>
          <w:tcPr>
            <w:tcW w:w="3458" w:type="dxa"/>
          </w:tcPr>
          <w:p>
            <w:pPr>
              <w:pStyle w:val="0"/>
            </w:pPr>
            <w:r>
              <w:rPr>
                <w:sz w:val="20"/>
              </w:rPr>
              <w:t xml:space="preserve">Итого НВВ для расчета тарифа</w:t>
            </w:r>
          </w:p>
        </w:tc>
        <w:tc>
          <w:tcPr>
            <w:tcW w:w="1077" w:type="dxa"/>
            <w:vAlign w:val="center"/>
          </w:tcPr>
          <w:p>
            <w:pPr>
              <w:pStyle w:val="0"/>
              <w:jc w:val="center"/>
            </w:pPr>
            <w:r>
              <w:rPr>
                <w:sz w:val="20"/>
              </w:rPr>
              <w:t xml:space="preserve">тыс. руб.</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4</w:t>
            </w:r>
          </w:p>
        </w:tc>
        <w:tc>
          <w:tcPr>
            <w:tcW w:w="3458" w:type="dxa"/>
          </w:tcPr>
          <w:p>
            <w:pPr>
              <w:pStyle w:val="0"/>
            </w:pPr>
            <w:r>
              <w:rPr>
                <w:sz w:val="20"/>
              </w:rPr>
              <w:t xml:space="preserve">Тариф на водоснабжение (водоотведение)</w:t>
            </w:r>
          </w:p>
        </w:tc>
        <w:tc>
          <w:tcPr>
            <w:tcW w:w="1077" w:type="dxa"/>
            <w:vAlign w:val="center"/>
          </w:tcPr>
          <w:p>
            <w:pPr>
              <w:pStyle w:val="0"/>
              <w:jc w:val="center"/>
            </w:pPr>
            <w:r>
              <w:rPr>
                <w:sz w:val="20"/>
              </w:rPr>
              <w:t xml:space="preserve">руб./куб. м</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5</w:t>
            </w:r>
          </w:p>
        </w:tc>
        <w:tc>
          <w:tcPr>
            <w:tcW w:w="3458" w:type="dxa"/>
          </w:tcPr>
          <w:p>
            <w:pPr>
              <w:pStyle w:val="0"/>
            </w:pPr>
            <w:r>
              <w:rPr>
                <w:sz w:val="20"/>
              </w:rPr>
              <w:t xml:space="preserve">Объем водоснабжения (водоотведения)</w:t>
            </w:r>
          </w:p>
        </w:tc>
        <w:tc>
          <w:tcPr>
            <w:tcW w:w="1077" w:type="dxa"/>
            <w:vAlign w:val="center"/>
          </w:tcPr>
          <w:p>
            <w:pPr>
              <w:pStyle w:val="0"/>
              <w:jc w:val="center"/>
            </w:pPr>
            <w:r>
              <w:rPr>
                <w:sz w:val="20"/>
              </w:rPr>
              <w:t xml:space="preserve">тыс. куб. м</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r>
        <w:tc>
          <w:tcPr>
            <w:tcW w:w="898" w:type="dxa"/>
            <w:vAlign w:val="center"/>
          </w:tcPr>
          <w:p>
            <w:pPr>
              <w:pStyle w:val="0"/>
            </w:pPr>
            <w:r>
              <w:rPr>
                <w:sz w:val="20"/>
              </w:rPr>
              <w:t xml:space="preserve">6</w:t>
            </w:r>
          </w:p>
        </w:tc>
        <w:tc>
          <w:tcPr>
            <w:tcW w:w="3458" w:type="dxa"/>
          </w:tcPr>
          <w:p>
            <w:pPr>
              <w:pStyle w:val="0"/>
            </w:pPr>
            <w:r>
              <w:rPr>
                <w:sz w:val="20"/>
              </w:rPr>
              <w:t xml:space="preserve">Темп роста тарифа</w:t>
            </w:r>
          </w:p>
        </w:tc>
        <w:tc>
          <w:tcPr>
            <w:tcW w:w="107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94"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r>
    </w:tbl>
    <w:p>
      <w:pPr>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27.12.2013 N 1746-э</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15" w:tooltip="Приказ ФСТ России от 24.11.2014 N 2054-э &quot;О внесении изменений и дополнений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7.12.2014 N 35252) {КонсультантПлюс}">
              <w:r>
                <w:rPr>
                  <w:sz w:val="20"/>
                  <w:color w:val="0000ff"/>
                </w:rPr>
                <w:t xml:space="preserve">Приказа</w:t>
              </w:r>
            </w:hyperlink>
            <w:r>
              <w:rPr>
                <w:sz w:val="20"/>
                <w:color w:val="392c69"/>
              </w:rPr>
              <w:t xml:space="preserve"> ФСТ России от 24.11.2014 N 2054-э)</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Расчет</w:t>
      </w:r>
    </w:p>
    <w:p>
      <w:pPr>
        <w:pStyle w:val="0"/>
        <w:jc w:val="center"/>
      </w:pPr>
      <w:r>
        <w:rPr>
          <w:sz w:val="20"/>
        </w:rPr>
        <w:t xml:space="preserve">платы за подключение (технологическое присоединение)</w:t>
      </w:r>
    </w:p>
    <w:p>
      <w:pPr>
        <w:pStyle w:val="0"/>
        <w:jc w:val="center"/>
      </w:pPr>
      <w:r>
        <w:rPr>
          <w:sz w:val="20"/>
        </w:rPr>
        <w:t xml:space="preserve">к системам водоснабжения и водоотведения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3754"/>
        <w:gridCol w:w="1402"/>
        <w:gridCol w:w="979"/>
        <w:gridCol w:w="737"/>
        <w:gridCol w:w="701"/>
        <w:gridCol w:w="720"/>
        <w:gridCol w:w="720"/>
        <w:gridCol w:w="730"/>
      </w:tblGrid>
      <w:tr>
        <w:tc>
          <w:tcPr>
            <w:tcW w:w="964" w:type="dxa"/>
          </w:tcPr>
          <w:p>
            <w:pPr>
              <w:pStyle w:val="0"/>
              <w:jc w:val="center"/>
            </w:pPr>
            <w:r>
              <w:rPr>
                <w:sz w:val="20"/>
              </w:rPr>
              <w:t xml:space="preserve">N п/п</w:t>
            </w:r>
          </w:p>
        </w:tc>
        <w:tc>
          <w:tcPr>
            <w:tcW w:w="3754" w:type="dxa"/>
          </w:tcPr>
          <w:p>
            <w:pPr>
              <w:pStyle w:val="0"/>
              <w:jc w:val="center"/>
            </w:pPr>
            <w:r>
              <w:rPr>
                <w:sz w:val="20"/>
              </w:rPr>
              <w:t xml:space="preserve">Наименование</w:t>
            </w:r>
          </w:p>
        </w:tc>
        <w:tc>
          <w:tcPr>
            <w:tcW w:w="1402" w:type="dxa"/>
          </w:tcPr>
          <w:p>
            <w:pPr>
              <w:pStyle w:val="0"/>
              <w:jc w:val="center"/>
            </w:pPr>
            <w:r>
              <w:rPr>
                <w:sz w:val="20"/>
              </w:rPr>
              <w:t xml:space="preserve">Единица измерений</w:t>
            </w:r>
          </w:p>
        </w:tc>
        <w:tc>
          <w:tcPr>
            <w:tcW w:w="979" w:type="dxa"/>
          </w:tcPr>
          <w:p>
            <w:pPr>
              <w:pStyle w:val="0"/>
              <w:jc w:val="center"/>
            </w:pPr>
            <w:r>
              <w:rPr>
                <w:sz w:val="20"/>
              </w:rPr>
              <w:t xml:space="preserve">Всего за период</w:t>
            </w:r>
          </w:p>
        </w:tc>
        <w:tc>
          <w:tcPr>
            <w:tcW w:w="737" w:type="dxa"/>
          </w:tcPr>
          <w:p>
            <w:pPr>
              <w:pStyle w:val="0"/>
              <w:jc w:val="center"/>
            </w:pPr>
            <w:r>
              <w:rPr>
                <w:sz w:val="20"/>
              </w:rPr>
              <w:t xml:space="preserve">1-й год</w:t>
            </w:r>
          </w:p>
        </w:tc>
        <w:tc>
          <w:tcPr>
            <w:tcW w:w="701" w:type="dxa"/>
          </w:tcPr>
          <w:p>
            <w:pPr>
              <w:pStyle w:val="0"/>
              <w:jc w:val="center"/>
            </w:pPr>
            <w:r>
              <w:rPr>
                <w:sz w:val="20"/>
              </w:rPr>
              <w:t xml:space="preserve">2-й год</w:t>
            </w:r>
          </w:p>
        </w:tc>
        <w:tc>
          <w:tcPr>
            <w:tcW w:w="720" w:type="dxa"/>
          </w:tcPr>
          <w:p>
            <w:pPr>
              <w:pStyle w:val="0"/>
              <w:jc w:val="center"/>
            </w:pPr>
            <w:r>
              <w:rPr>
                <w:sz w:val="20"/>
              </w:rPr>
              <w:t xml:space="preserve">3-й год</w:t>
            </w:r>
          </w:p>
        </w:tc>
        <w:tc>
          <w:tcPr>
            <w:tcW w:w="720" w:type="dxa"/>
          </w:tcPr>
          <w:p>
            <w:pPr>
              <w:pStyle w:val="0"/>
              <w:jc w:val="center"/>
            </w:pPr>
            <w:r>
              <w:rPr>
                <w:sz w:val="20"/>
              </w:rPr>
              <w:t xml:space="preserve">4-й год</w:t>
            </w:r>
          </w:p>
        </w:tc>
        <w:tc>
          <w:tcPr>
            <w:tcW w:w="730" w:type="dxa"/>
          </w:tcPr>
          <w:p>
            <w:pPr>
              <w:pStyle w:val="0"/>
              <w:jc w:val="center"/>
            </w:pPr>
            <w:r>
              <w:rPr>
                <w:sz w:val="20"/>
              </w:rPr>
              <w:t xml:space="preserve">5-й год</w:t>
            </w:r>
          </w:p>
        </w:tc>
      </w:tr>
      <w:tr>
        <w:tc>
          <w:tcPr>
            <w:tcW w:w="964" w:type="dxa"/>
          </w:tcPr>
          <w:p>
            <w:pPr>
              <w:pStyle w:val="0"/>
              <w:jc w:val="center"/>
            </w:pPr>
            <w:r>
              <w:rPr>
                <w:sz w:val="20"/>
              </w:rPr>
              <w:t xml:space="preserve">1</w:t>
            </w:r>
          </w:p>
        </w:tc>
        <w:tc>
          <w:tcPr>
            <w:tcW w:w="3754" w:type="dxa"/>
          </w:tcPr>
          <w:p>
            <w:pPr>
              <w:pStyle w:val="0"/>
              <w:jc w:val="center"/>
            </w:pPr>
            <w:r>
              <w:rPr>
                <w:sz w:val="20"/>
              </w:rPr>
              <w:t xml:space="preserve">2</w:t>
            </w:r>
          </w:p>
        </w:tc>
        <w:tc>
          <w:tcPr>
            <w:tcW w:w="1402" w:type="dxa"/>
          </w:tcPr>
          <w:p>
            <w:pPr>
              <w:pStyle w:val="0"/>
              <w:jc w:val="center"/>
            </w:pPr>
            <w:r>
              <w:rPr>
                <w:sz w:val="20"/>
              </w:rPr>
              <w:t xml:space="preserve">3</w:t>
            </w:r>
          </w:p>
        </w:tc>
        <w:tc>
          <w:tcPr>
            <w:tcW w:w="979" w:type="dxa"/>
          </w:tcPr>
          <w:p>
            <w:pPr>
              <w:pStyle w:val="0"/>
              <w:jc w:val="center"/>
            </w:pPr>
            <w:r>
              <w:rPr>
                <w:sz w:val="20"/>
              </w:rPr>
              <w:t xml:space="preserve">4</w:t>
            </w:r>
          </w:p>
        </w:tc>
        <w:tc>
          <w:tcPr>
            <w:tcW w:w="737" w:type="dxa"/>
          </w:tcPr>
          <w:p>
            <w:pPr>
              <w:pStyle w:val="0"/>
              <w:jc w:val="center"/>
            </w:pPr>
            <w:r>
              <w:rPr>
                <w:sz w:val="20"/>
              </w:rPr>
              <w:t xml:space="preserve">5</w:t>
            </w:r>
          </w:p>
        </w:tc>
        <w:tc>
          <w:tcPr>
            <w:tcW w:w="701" w:type="dxa"/>
          </w:tcPr>
          <w:p>
            <w:pPr>
              <w:pStyle w:val="0"/>
              <w:jc w:val="center"/>
            </w:pPr>
            <w:r>
              <w:rPr>
                <w:sz w:val="20"/>
              </w:rPr>
              <w:t xml:space="preserve">6</w:t>
            </w:r>
          </w:p>
        </w:tc>
        <w:tc>
          <w:tcPr>
            <w:tcW w:w="720" w:type="dxa"/>
          </w:tcPr>
          <w:p>
            <w:pPr>
              <w:pStyle w:val="0"/>
              <w:jc w:val="center"/>
            </w:pPr>
            <w:r>
              <w:rPr>
                <w:sz w:val="20"/>
              </w:rPr>
              <w:t xml:space="preserve">7</w:t>
            </w:r>
          </w:p>
        </w:tc>
        <w:tc>
          <w:tcPr>
            <w:tcW w:w="720" w:type="dxa"/>
          </w:tcPr>
          <w:p>
            <w:pPr>
              <w:pStyle w:val="0"/>
              <w:jc w:val="center"/>
            </w:pPr>
            <w:r>
              <w:rPr>
                <w:sz w:val="20"/>
              </w:rPr>
              <w:t xml:space="preserve">8</w:t>
            </w:r>
          </w:p>
        </w:tc>
        <w:tc>
          <w:tcPr>
            <w:tcW w:w="730" w:type="dxa"/>
          </w:tcPr>
          <w:p>
            <w:pPr>
              <w:pStyle w:val="0"/>
              <w:jc w:val="center"/>
            </w:pPr>
            <w:r>
              <w:rPr>
                <w:sz w:val="20"/>
              </w:rPr>
              <w:t xml:space="preserve">9</w:t>
            </w:r>
          </w:p>
        </w:tc>
      </w:tr>
      <w:tr>
        <w:tc>
          <w:tcPr>
            <w:tcW w:w="964" w:type="dxa"/>
            <w:vAlign w:val="center"/>
          </w:tcPr>
          <w:p>
            <w:pPr>
              <w:pStyle w:val="0"/>
            </w:pPr>
            <w:r>
              <w:rPr>
                <w:sz w:val="20"/>
              </w:rPr>
              <w:t xml:space="preserve">1</w:t>
            </w:r>
          </w:p>
        </w:tc>
        <w:tc>
          <w:tcPr>
            <w:tcW w:w="3754" w:type="dxa"/>
          </w:tcPr>
          <w:p>
            <w:pPr>
              <w:pStyle w:val="0"/>
              <w:jc w:val="both"/>
            </w:pPr>
            <w:r>
              <w:rPr>
                <w:sz w:val="20"/>
              </w:rPr>
              <w:t xml:space="preserve">Расходы, связанные с подключением (технологическим присоединением)</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1.1</w:t>
            </w:r>
          </w:p>
        </w:tc>
        <w:tc>
          <w:tcPr>
            <w:tcW w:w="3754" w:type="dxa"/>
          </w:tcPr>
          <w:p>
            <w:pPr>
              <w:pStyle w:val="0"/>
              <w:ind w:firstLine="116"/>
              <w:jc w:val="both"/>
            </w:pPr>
            <w:r>
              <w:rPr>
                <w:sz w:val="20"/>
              </w:rPr>
              <w:t xml:space="preserve">Расходы на проведение мероприятий по подключению заявителей</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1.1.1</w:t>
            </w:r>
          </w:p>
        </w:tc>
        <w:tc>
          <w:tcPr>
            <w:tcW w:w="3754" w:type="dxa"/>
          </w:tcPr>
          <w:p>
            <w:pPr>
              <w:pStyle w:val="0"/>
              <w:ind w:firstLine="540"/>
              <w:jc w:val="both"/>
            </w:pPr>
            <w:r>
              <w:rPr>
                <w:sz w:val="20"/>
              </w:rPr>
              <w:t xml:space="preserve">расходы на проектирование</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1.1.2</w:t>
            </w:r>
          </w:p>
        </w:tc>
        <w:tc>
          <w:tcPr>
            <w:tcW w:w="3754" w:type="dxa"/>
          </w:tcPr>
          <w:p>
            <w:pPr>
              <w:pStyle w:val="0"/>
              <w:ind w:firstLine="540"/>
              <w:jc w:val="both"/>
            </w:pPr>
            <w:r>
              <w:rPr>
                <w:sz w:val="20"/>
              </w:rPr>
              <w:t xml:space="preserve">расходы на сырье и материалы</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1.1.3</w:t>
            </w:r>
          </w:p>
        </w:tc>
        <w:tc>
          <w:tcPr>
            <w:tcW w:w="3754" w:type="dxa"/>
          </w:tcPr>
          <w:p>
            <w:pPr>
              <w:pStyle w:val="0"/>
              <w:ind w:firstLine="540"/>
              <w:jc w:val="both"/>
            </w:pPr>
            <w:r>
              <w:rPr>
                <w:sz w:val="20"/>
              </w:rPr>
              <w:t xml:space="preserve">расходы на электрическую энергию (мощность), тепловую энергию, другие энергетические ресурсы и холодную воду (промывку сетей)</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1.1.4</w:t>
            </w:r>
          </w:p>
        </w:tc>
        <w:tc>
          <w:tcPr>
            <w:tcW w:w="3754" w:type="dxa"/>
          </w:tcPr>
          <w:p>
            <w:pPr>
              <w:pStyle w:val="0"/>
              <w:ind w:firstLine="540"/>
              <w:jc w:val="both"/>
            </w:pPr>
            <w:r>
              <w:rPr>
                <w:sz w:val="20"/>
              </w:rPr>
              <w:t xml:space="preserve">расходы на оплату работ и услуг сторонних организаций</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1.1.5</w:t>
            </w:r>
          </w:p>
        </w:tc>
        <w:tc>
          <w:tcPr>
            <w:tcW w:w="3754" w:type="dxa"/>
          </w:tcPr>
          <w:p>
            <w:pPr>
              <w:pStyle w:val="0"/>
              <w:ind w:firstLine="540"/>
              <w:jc w:val="both"/>
            </w:pPr>
            <w:r>
              <w:rPr>
                <w:sz w:val="20"/>
              </w:rPr>
              <w:t xml:space="preserve">оплата труда и отчисления на социальные нужды</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1.1.6</w:t>
            </w:r>
          </w:p>
        </w:tc>
        <w:tc>
          <w:tcPr>
            <w:tcW w:w="3754" w:type="dxa"/>
          </w:tcPr>
          <w:p>
            <w:pPr>
              <w:pStyle w:val="0"/>
              <w:ind w:firstLine="540"/>
              <w:jc w:val="both"/>
            </w:pPr>
            <w:r>
              <w:rPr>
                <w:sz w:val="20"/>
              </w:rPr>
              <w:t xml:space="preserve">прочие расходы</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1.2</w:t>
            </w:r>
          </w:p>
        </w:tc>
        <w:tc>
          <w:tcPr>
            <w:tcW w:w="3754" w:type="dxa"/>
          </w:tcPr>
          <w:p>
            <w:pPr>
              <w:pStyle w:val="0"/>
              <w:ind w:firstLine="116"/>
              <w:jc w:val="both"/>
            </w:pPr>
            <w:r>
              <w:rPr>
                <w:sz w:val="20"/>
              </w:rPr>
              <w:t xml:space="preserve">Внереализационные расходы, всего</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1.2.1</w:t>
            </w:r>
          </w:p>
        </w:tc>
        <w:tc>
          <w:tcPr>
            <w:tcW w:w="3754" w:type="dxa"/>
          </w:tcPr>
          <w:p>
            <w:pPr>
              <w:pStyle w:val="0"/>
              <w:ind w:firstLine="540"/>
              <w:jc w:val="both"/>
            </w:pPr>
            <w:r>
              <w:rPr>
                <w:sz w:val="20"/>
              </w:rPr>
              <w:t xml:space="preserve">расходы на услуги банков</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1.2.2</w:t>
            </w:r>
          </w:p>
        </w:tc>
        <w:tc>
          <w:tcPr>
            <w:tcW w:w="3754" w:type="dxa"/>
          </w:tcPr>
          <w:p>
            <w:pPr>
              <w:pStyle w:val="0"/>
              <w:ind w:firstLine="540"/>
              <w:jc w:val="both"/>
            </w:pPr>
            <w:r>
              <w:rPr>
                <w:sz w:val="20"/>
              </w:rPr>
              <w:t xml:space="preserve">расходы на обслуживание заемных средств</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1.3</w:t>
            </w:r>
          </w:p>
        </w:tc>
        <w:tc>
          <w:tcPr>
            <w:tcW w:w="3754" w:type="dxa"/>
          </w:tcPr>
          <w:p>
            <w:pPr>
              <w:pStyle w:val="0"/>
              <w:ind w:firstLine="116"/>
              <w:jc w:val="both"/>
            </w:pPr>
            <w:r>
              <w:rPr>
                <w:sz w:val="20"/>
              </w:rPr>
              <w:t xml:space="preserve">Налог на прибыль</w:t>
            </w:r>
          </w:p>
        </w:tc>
        <w:tc>
          <w:tcPr>
            <w:tcW w:w="1402" w:type="dxa"/>
            <w:vAlign w:val="center"/>
          </w:tcPr>
          <w:p>
            <w:pPr>
              <w:pStyle w:val="0"/>
              <w:jc w:val="center"/>
            </w:pPr>
            <w:r>
              <w:rPr>
                <w:sz w:val="20"/>
              </w:rPr>
              <w:t xml:space="preserve">%</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2</w:t>
            </w:r>
          </w:p>
        </w:tc>
        <w:tc>
          <w:tcPr>
            <w:tcW w:w="3754" w:type="dxa"/>
          </w:tcPr>
          <w:p>
            <w:pPr>
              <w:pStyle w:val="0"/>
              <w:jc w:val="both"/>
            </w:pPr>
            <w:r>
              <w:rPr>
                <w:sz w:val="20"/>
              </w:rPr>
              <w:t xml:space="preserve">Структура расходов</w:t>
            </w:r>
          </w:p>
        </w:tc>
        <w:tc>
          <w:tcPr>
            <w:tcW w:w="1402" w:type="dxa"/>
            <w:vAlign w:val="center"/>
          </w:tcPr>
          <w:p>
            <w:pPr>
              <w:pStyle w:val="0"/>
            </w:pPr>
            <w:r>
              <w:rPr>
                <w:sz w:val="20"/>
              </w:rPr>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2.1</w:t>
            </w:r>
          </w:p>
        </w:tc>
        <w:tc>
          <w:tcPr>
            <w:tcW w:w="3754" w:type="dxa"/>
          </w:tcPr>
          <w:p>
            <w:pPr>
              <w:pStyle w:val="0"/>
              <w:ind w:firstLine="116"/>
              <w:jc w:val="both"/>
            </w:pPr>
            <w:r>
              <w:rPr>
                <w:sz w:val="20"/>
              </w:rPr>
              <w:t xml:space="preserve">Расходы, относимые на ставку за протяженность сети</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2.1.1</w:t>
            </w:r>
          </w:p>
        </w:tc>
        <w:tc>
          <w:tcPr>
            <w:tcW w:w="3754" w:type="dxa"/>
          </w:tcPr>
          <w:p>
            <w:pPr>
              <w:pStyle w:val="0"/>
              <w:ind w:firstLine="540"/>
              <w:jc w:val="both"/>
            </w:pPr>
            <w:r>
              <w:rPr>
                <w:sz w:val="20"/>
              </w:rPr>
              <w:t xml:space="preserve">расходы на подключение сетей диаметром 40 мм и менее</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2.1.2</w:t>
            </w:r>
          </w:p>
        </w:tc>
        <w:tc>
          <w:tcPr>
            <w:tcW w:w="3754" w:type="dxa"/>
          </w:tcPr>
          <w:p>
            <w:pPr>
              <w:pStyle w:val="0"/>
              <w:ind w:firstLine="540"/>
              <w:jc w:val="both"/>
            </w:pPr>
            <w:r>
              <w:rPr>
                <w:sz w:val="20"/>
              </w:rPr>
              <w:t xml:space="preserve">расходы на подключение сетей диаметром от 40 мм до 70 мм (включительно)</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2.1.3</w:t>
            </w:r>
          </w:p>
        </w:tc>
        <w:tc>
          <w:tcPr>
            <w:tcW w:w="3754" w:type="dxa"/>
          </w:tcPr>
          <w:p>
            <w:pPr>
              <w:pStyle w:val="0"/>
              <w:ind w:firstLine="540"/>
              <w:jc w:val="both"/>
            </w:pPr>
            <w:r>
              <w:rPr>
                <w:sz w:val="20"/>
              </w:rPr>
              <w:t xml:space="preserve">расходы на подключение сетей диаметром от 70 мм до 100 мм (включительно)</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2.1.4</w:t>
            </w:r>
          </w:p>
        </w:tc>
        <w:tc>
          <w:tcPr>
            <w:tcW w:w="3754" w:type="dxa"/>
          </w:tcPr>
          <w:p>
            <w:pPr>
              <w:pStyle w:val="0"/>
              <w:ind w:firstLine="540"/>
              <w:jc w:val="both"/>
            </w:pPr>
            <w:r>
              <w:rPr>
                <w:sz w:val="20"/>
              </w:rPr>
              <w:t xml:space="preserve">расходы на подключение сетей диаметром от 100 мм до 150 мм (включительно)</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2.1.5</w:t>
            </w:r>
          </w:p>
        </w:tc>
        <w:tc>
          <w:tcPr>
            <w:tcW w:w="3754" w:type="dxa"/>
          </w:tcPr>
          <w:p>
            <w:pPr>
              <w:pStyle w:val="0"/>
              <w:ind w:firstLine="540"/>
              <w:jc w:val="both"/>
            </w:pPr>
            <w:r>
              <w:rPr>
                <w:sz w:val="20"/>
              </w:rPr>
              <w:t xml:space="preserve">расходы на подключение сетей диаметром от 150 мм до 200 мм (включительно)</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2.1.6</w:t>
            </w:r>
          </w:p>
        </w:tc>
        <w:tc>
          <w:tcPr>
            <w:tcW w:w="3754" w:type="dxa"/>
          </w:tcPr>
          <w:p>
            <w:pPr>
              <w:pStyle w:val="0"/>
              <w:ind w:firstLine="540"/>
              <w:jc w:val="both"/>
            </w:pPr>
            <w:r>
              <w:rPr>
                <w:sz w:val="20"/>
              </w:rPr>
              <w:t xml:space="preserve">расходы на подключение сетей диаметром от 200 мм до 250 мм (включительно)</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2.1.7</w:t>
            </w:r>
          </w:p>
        </w:tc>
        <w:tc>
          <w:tcPr>
            <w:tcW w:w="3754" w:type="dxa"/>
          </w:tcPr>
          <w:p>
            <w:pPr>
              <w:pStyle w:val="0"/>
              <w:ind w:firstLine="540"/>
              <w:jc w:val="both"/>
            </w:pPr>
            <w:r>
              <w:rPr>
                <w:sz w:val="20"/>
              </w:rPr>
              <w:t xml:space="preserve">расходы на подключение сетей диаметром от 250 мм и более</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2.2</w:t>
            </w:r>
          </w:p>
        </w:tc>
        <w:tc>
          <w:tcPr>
            <w:tcW w:w="3754" w:type="dxa"/>
          </w:tcPr>
          <w:p>
            <w:pPr>
              <w:pStyle w:val="0"/>
              <w:ind w:firstLine="116"/>
              <w:jc w:val="both"/>
            </w:pPr>
            <w:r>
              <w:rPr>
                <w:sz w:val="20"/>
              </w:rPr>
              <w:t xml:space="preserve">Расходы, относимые на ставку за подключаемую нагрузку</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2.3</w:t>
            </w:r>
          </w:p>
        </w:tc>
        <w:tc>
          <w:tcPr>
            <w:tcW w:w="3754" w:type="dxa"/>
          </w:tcPr>
          <w:p>
            <w:pPr>
              <w:pStyle w:val="0"/>
              <w:ind w:firstLine="116"/>
              <w:jc w:val="both"/>
            </w:pPr>
            <w:r>
              <w:rPr>
                <w:sz w:val="20"/>
              </w:rPr>
              <w:t xml:space="preserve">Расходы на строительство и модернизацию существующих объектов, учитываемые при установлении индивидуальной платы за подключение</w:t>
            </w:r>
          </w:p>
        </w:tc>
        <w:tc>
          <w:tcPr>
            <w:tcW w:w="1402" w:type="dxa"/>
            <w:vAlign w:val="center"/>
          </w:tcPr>
          <w:p>
            <w:pPr>
              <w:pStyle w:val="0"/>
              <w:jc w:val="center"/>
            </w:pPr>
            <w:r>
              <w:rPr>
                <w:sz w:val="20"/>
              </w:rPr>
              <w:t xml:space="preserve">тыс. руб.</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3</w:t>
            </w:r>
          </w:p>
        </w:tc>
        <w:tc>
          <w:tcPr>
            <w:tcW w:w="3754" w:type="dxa"/>
          </w:tcPr>
          <w:p>
            <w:pPr>
              <w:pStyle w:val="0"/>
              <w:jc w:val="both"/>
            </w:pPr>
            <w:r>
              <w:rPr>
                <w:sz w:val="20"/>
              </w:rPr>
              <w:t xml:space="preserve">Протяженность сетей</w:t>
            </w:r>
          </w:p>
        </w:tc>
        <w:tc>
          <w:tcPr>
            <w:tcW w:w="1402" w:type="dxa"/>
            <w:vAlign w:val="center"/>
          </w:tcPr>
          <w:p>
            <w:pPr>
              <w:pStyle w:val="0"/>
              <w:jc w:val="center"/>
            </w:pPr>
            <w:r>
              <w:rPr>
                <w:sz w:val="20"/>
              </w:rPr>
              <w:t xml:space="preserve">км</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3.1</w:t>
            </w:r>
          </w:p>
        </w:tc>
        <w:tc>
          <w:tcPr>
            <w:tcW w:w="3754" w:type="dxa"/>
          </w:tcPr>
          <w:p>
            <w:pPr>
              <w:pStyle w:val="0"/>
              <w:ind w:firstLine="116"/>
              <w:jc w:val="both"/>
            </w:pPr>
            <w:r>
              <w:rPr>
                <w:sz w:val="20"/>
              </w:rPr>
              <w:t xml:space="preserve">Протяженность вновь создаваемых</w:t>
            </w:r>
          </w:p>
        </w:tc>
        <w:tc>
          <w:tcPr>
            <w:tcW w:w="1402" w:type="dxa"/>
            <w:vAlign w:val="center"/>
          </w:tcPr>
          <w:p>
            <w:pPr>
              <w:pStyle w:val="0"/>
              <w:jc w:val="center"/>
            </w:pPr>
            <w:r>
              <w:rPr>
                <w:sz w:val="20"/>
              </w:rPr>
              <w:t xml:space="preserve">км</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3.1.1</w:t>
            </w:r>
          </w:p>
        </w:tc>
        <w:tc>
          <w:tcPr>
            <w:tcW w:w="3754" w:type="dxa"/>
          </w:tcPr>
          <w:p>
            <w:pPr>
              <w:pStyle w:val="0"/>
              <w:jc w:val="both"/>
            </w:pPr>
            <w:r>
              <w:rPr>
                <w:sz w:val="20"/>
              </w:rPr>
              <w:t xml:space="preserve">Протяженность сетей диаметром 40 мм и менее</w:t>
            </w:r>
          </w:p>
        </w:tc>
        <w:tc>
          <w:tcPr>
            <w:tcW w:w="1402" w:type="dxa"/>
            <w:vAlign w:val="center"/>
          </w:tcPr>
          <w:p>
            <w:pPr>
              <w:pStyle w:val="0"/>
              <w:jc w:val="center"/>
            </w:pPr>
            <w:r>
              <w:rPr>
                <w:sz w:val="20"/>
              </w:rPr>
              <w:t xml:space="preserve">км</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3.1.2</w:t>
            </w:r>
          </w:p>
        </w:tc>
        <w:tc>
          <w:tcPr>
            <w:tcW w:w="3754" w:type="dxa"/>
          </w:tcPr>
          <w:p>
            <w:pPr>
              <w:pStyle w:val="0"/>
              <w:ind w:firstLine="540"/>
              <w:jc w:val="both"/>
            </w:pPr>
            <w:r>
              <w:rPr>
                <w:sz w:val="20"/>
              </w:rPr>
              <w:t xml:space="preserve">протяженность сетей диаметром от 40 мм до 70 мм (включительно)</w:t>
            </w:r>
          </w:p>
        </w:tc>
        <w:tc>
          <w:tcPr>
            <w:tcW w:w="1402" w:type="dxa"/>
            <w:vAlign w:val="center"/>
          </w:tcPr>
          <w:p>
            <w:pPr>
              <w:pStyle w:val="0"/>
              <w:jc w:val="center"/>
            </w:pPr>
            <w:r>
              <w:rPr>
                <w:sz w:val="20"/>
              </w:rPr>
              <w:t xml:space="preserve">км</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3.1.3</w:t>
            </w:r>
          </w:p>
        </w:tc>
        <w:tc>
          <w:tcPr>
            <w:tcW w:w="3754" w:type="dxa"/>
          </w:tcPr>
          <w:p>
            <w:pPr>
              <w:pStyle w:val="0"/>
              <w:ind w:firstLine="540"/>
              <w:jc w:val="both"/>
            </w:pPr>
            <w:r>
              <w:rPr>
                <w:sz w:val="20"/>
              </w:rPr>
              <w:t xml:space="preserve">протяженность сетей диаметром от 70 мм до 100 мм (включительно)</w:t>
            </w:r>
          </w:p>
        </w:tc>
        <w:tc>
          <w:tcPr>
            <w:tcW w:w="1402" w:type="dxa"/>
            <w:vAlign w:val="center"/>
          </w:tcPr>
          <w:p>
            <w:pPr>
              <w:pStyle w:val="0"/>
              <w:jc w:val="center"/>
            </w:pPr>
            <w:r>
              <w:rPr>
                <w:sz w:val="20"/>
              </w:rPr>
              <w:t xml:space="preserve">км</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3.1.4</w:t>
            </w:r>
          </w:p>
        </w:tc>
        <w:tc>
          <w:tcPr>
            <w:tcW w:w="3754" w:type="dxa"/>
          </w:tcPr>
          <w:p>
            <w:pPr>
              <w:pStyle w:val="0"/>
              <w:ind w:firstLine="540"/>
              <w:jc w:val="both"/>
            </w:pPr>
            <w:r>
              <w:rPr>
                <w:sz w:val="20"/>
              </w:rPr>
              <w:t xml:space="preserve">протяженность сетей диаметром от 100 мм до 150 мм (включительно)</w:t>
            </w:r>
          </w:p>
        </w:tc>
        <w:tc>
          <w:tcPr>
            <w:tcW w:w="1402" w:type="dxa"/>
            <w:vAlign w:val="center"/>
          </w:tcPr>
          <w:p>
            <w:pPr>
              <w:pStyle w:val="0"/>
              <w:jc w:val="center"/>
            </w:pPr>
            <w:r>
              <w:rPr>
                <w:sz w:val="20"/>
              </w:rPr>
              <w:t xml:space="preserve">км</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3.1.5</w:t>
            </w:r>
          </w:p>
        </w:tc>
        <w:tc>
          <w:tcPr>
            <w:tcW w:w="3754" w:type="dxa"/>
          </w:tcPr>
          <w:p>
            <w:pPr>
              <w:pStyle w:val="0"/>
              <w:ind w:firstLine="540"/>
              <w:jc w:val="both"/>
            </w:pPr>
            <w:r>
              <w:rPr>
                <w:sz w:val="20"/>
              </w:rPr>
              <w:t xml:space="preserve">протяженность сетей диаметром от 150 мм до 200 мм (включительно)</w:t>
            </w:r>
          </w:p>
        </w:tc>
        <w:tc>
          <w:tcPr>
            <w:tcW w:w="1402" w:type="dxa"/>
            <w:vAlign w:val="center"/>
          </w:tcPr>
          <w:p>
            <w:pPr>
              <w:pStyle w:val="0"/>
              <w:jc w:val="center"/>
            </w:pPr>
            <w:r>
              <w:rPr>
                <w:sz w:val="20"/>
              </w:rPr>
              <w:t xml:space="preserve">км</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3.1.6</w:t>
            </w:r>
          </w:p>
        </w:tc>
        <w:tc>
          <w:tcPr>
            <w:tcW w:w="3754" w:type="dxa"/>
          </w:tcPr>
          <w:p>
            <w:pPr>
              <w:pStyle w:val="0"/>
              <w:ind w:firstLine="540"/>
              <w:jc w:val="both"/>
            </w:pPr>
            <w:r>
              <w:rPr>
                <w:sz w:val="20"/>
              </w:rPr>
              <w:t xml:space="preserve">протяженность сетей диаметром от 200 мм до 250 мм (включительно)</w:t>
            </w:r>
          </w:p>
        </w:tc>
        <w:tc>
          <w:tcPr>
            <w:tcW w:w="1402" w:type="dxa"/>
            <w:vAlign w:val="center"/>
          </w:tcPr>
          <w:p>
            <w:pPr>
              <w:pStyle w:val="0"/>
              <w:jc w:val="center"/>
            </w:pPr>
            <w:r>
              <w:rPr>
                <w:sz w:val="20"/>
              </w:rPr>
              <w:t xml:space="preserve">км</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3.1.7</w:t>
            </w:r>
          </w:p>
        </w:tc>
        <w:tc>
          <w:tcPr>
            <w:tcW w:w="3754" w:type="dxa"/>
          </w:tcPr>
          <w:p>
            <w:pPr>
              <w:pStyle w:val="0"/>
              <w:ind w:firstLine="540"/>
              <w:jc w:val="both"/>
            </w:pPr>
            <w:r>
              <w:rPr>
                <w:sz w:val="20"/>
              </w:rPr>
              <w:t xml:space="preserve">протяженность сетей диаметром от 250 мм и более</w:t>
            </w:r>
          </w:p>
        </w:tc>
        <w:tc>
          <w:tcPr>
            <w:tcW w:w="1402" w:type="dxa"/>
            <w:vAlign w:val="center"/>
          </w:tcPr>
          <w:p>
            <w:pPr>
              <w:pStyle w:val="0"/>
              <w:jc w:val="center"/>
            </w:pPr>
            <w:r>
              <w:rPr>
                <w:sz w:val="20"/>
              </w:rPr>
              <w:t xml:space="preserve">км</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4</w:t>
            </w:r>
          </w:p>
        </w:tc>
        <w:tc>
          <w:tcPr>
            <w:tcW w:w="3754" w:type="dxa"/>
          </w:tcPr>
          <w:p>
            <w:pPr>
              <w:pStyle w:val="0"/>
              <w:jc w:val="both"/>
            </w:pPr>
            <w:r>
              <w:rPr>
                <w:sz w:val="20"/>
              </w:rPr>
              <w:t xml:space="preserve">Подключаемая нагрузка</w:t>
            </w:r>
          </w:p>
        </w:tc>
        <w:tc>
          <w:tcPr>
            <w:tcW w:w="1402" w:type="dxa"/>
            <w:vAlign w:val="center"/>
          </w:tcPr>
          <w:p>
            <w:pPr>
              <w:pStyle w:val="0"/>
              <w:jc w:val="center"/>
            </w:pPr>
            <w:r>
              <w:rPr>
                <w:sz w:val="20"/>
              </w:rPr>
              <w:t xml:space="preserve">куб. м в сутки</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5</w:t>
            </w:r>
          </w:p>
        </w:tc>
        <w:tc>
          <w:tcPr>
            <w:tcW w:w="3754" w:type="dxa"/>
          </w:tcPr>
          <w:p>
            <w:pPr>
              <w:pStyle w:val="0"/>
              <w:jc w:val="both"/>
            </w:pPr>
            <w:r>
              <w:rPr>
                <w:sz w:val="20"/>
              </w:rPr>
              <w:t xml:space="preserve">Предлагаемые тарифы на подключение</w:t>
            </w:r>
          </w:p>
        </w:tc>
        <w:tc>
          <w:tcPr>
            <w:tcW w:w="1402" w:type="dxa"/>
            <w:vAlign w:val="center"/>
          </w:tcPr>
          <w:p>
            <w:pPr>
              <w:pStyle w:val="0"/>
            </w:pPr>
            <w:r>
              <w:rPr>
                <w:sz w:val="20"/>
              </w:rPr>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5.1</w:t>
            </w:r>
          </w:p>
        </w:tc>
        <w:tc>
          <w:tcPr>
            <w:tcW w:w="3754" w:type="dxa"/>
          </w:tcPr>
          <w:p>
            <w:pPr>
              <w:pStyle w:val="0"/>
              <w:ind w:firstLine="116"/>
              <w:jc w:val="both"/>
            </w:pPr>
            <w:r>
              <w:rPr>
                <w:sz w:val="20"/>
              </w:rPr>
              <w:t xml:space="preserve">Базовая ставка тарифа на протяженность сетей</w:t>
            </w:r>
          </w:p>
        </w:tc>
        <w:tc>
          <w:tcPr>
            <w:tcW w:w="1402" w:type="dxa"/>
            <w:vAlign w:val="center"/>
          </w:tcPr>
          <w:p>
            <w:pPr>
              <w:pStyle w:val="0"/>
              <w:jc w:val="center"/>
            </w:pPr>
            <w:r>
              <w:rPr>
                <w:sz w:val="20"/>
              </w:rPr>
              <w:t xml:space="preserve">тыс. руб./км</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5.2</w:t>
            </w:r>
          </w:p>
        </w:tc>
        <w:tc>
          <w:tcPr>
            <w:tcW w:w="3754" w:type="dxa"/>
          </w:tcPr>
          <w:p>
            <w:pPr>
              <w:pStyle w:val="0"/>
              <w:ind w:firstLine="116"/>
              <w:jc w:val="both"/>
            </w:pPr>
            <w:r>
              <w:rPr>
                <w:sz w:val="20"/>
              </w:rPr>
              <w:t xml:space="preserve">Коэффициенты дифференциации тарифа в зависимости от диаметра сетей</w:t>
            </w:r>
          </w:p>
        </w:tc>
        <w:tc>
          <w:tcPr>
            <w:tcW w:w="1402" w:type="dxa"/>
            <w:vAlign w:val="center"/>
          </w:tcPr>
          <w:p>
            <w:pPr>
              <w:pStyle w:val="0"/>
            </w:pPr>
            <w:r>
              <w:rPr>
                <w:sz w:val="20"/>
              </w:rPr>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5.2.1</w:t>
            </w:r>
          </w:p>
        </w:tc>
        <w:tc>
          <w:tcPr>
            <w:tcW w:w="3754" w:type="dxa"/>
          </w:tcPr>
          <w:p>
            <w:pPr>
              <w:pStyle w:val="0"/>
              <w:ind w:firstLine="540"/>
              <w:jc w:val="both"/>
            </w:pPr>
            <w:r>
              <w:rPr>
                <w:sz w:val="20"/>
              </w:rPr>
              <w:t xml:space="preserve">коэффициент для сетей диаметром 40 мм и менее</w:t>
            </w:r>
          </w:p>
        </w:tc>
        <w:tc>
          <w:tcPr>
            <w:tcW w:w="1402" w:type="dxa"/>
            <w:vAlign w:val="center"/>
          </w:tcPr>
          <w:p>
            <w:pPr>
              <w:pStyle w:val="0"/>
              <w:jc w:val="center"/>
            </w:pPr>
            <w:r>
              <w:rPr>
                <w:sz w:val="20"/>
              </w:rPr>
              <w:t xml:space="preserve">-</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5.2.2</w:t>
            </w:r>
          </w:p>
        </w:tc>
        <w:tc>
          <w:tcPr>
            <w:tcW w:w="3754" w:type="dxa"/>
          </w:tcPr>
          <w:p>
            <w:pPr>
              <w:pStyle w:val="0"/>
              <w:ind w:firstLine="540"/>
              <w:jc w:val="both"/>
            </w:pPr>
            <w:r>
              <w:rPr>
                <w:sz w:val="20"/>
              </w:rPr>
              <w:t xml:space="preserve">коэффициент для сетей диаметром от 40 мм до 70 мм (включительно)</w:t>
            </w:r>
          </w:p>
        </w:tc>
        <w:tc>
          <w:tcPr>
            <w:tcW w:w="1402" w:type="dxa"/>
            <w:vAlign w:val="center"/>
          </w:tcPr>
          <w:p>
            <w:pPr>
              <w:pStyle w:val="0"/>
              <w:jc w:val="center"/>
            </w:pPr>
            <w:r>
              <w:rPr>
                <w:sz w:val="20"/>
              </w:rPr>
              <w:t xml:space="preserve">-</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5.2.3</w:t>
            </w:r>
          </w:p>
        </w:tc>
        <w:tc>
          <w:tcPr>
            <w:tcW w:w="3754" w:type="dxa"/>
          </w:tcPr>
          <w:p>
            <w:pPr>
              <w:pStyle w:val="0"/>
              <w:ind w:firstLine="540"/>
              <w:jc w:val="both"/>
            </w:pPr>
            <w:r>
              <w:rPr>
                <w:sz w:val="20"/>
              </w:rPr>
              <w:t xml:space="preserve">коэффициент для сетей диаметром от 70 мм до 100 мм (включительно)</w:t>
            </w:r>
          </w:p>
        </w:tc>
        <w:tc>
          <w:tcPr>
            <w:tcW w:w="1402" w:type="dxa"/>
            <w:vAlign w:val="center"/>
          </w:tcPr>
          <w:p>
            <w:pPr>
              <w:pStyle w:val="0"/>
              <w:jc w:val="center"/>
            </w:pPr>
            <w:r>
              <w:rPr>
                <w:sz w:val="20"/>
              </w:rPr>
              <w:t xml:space="preserve">-</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5.2.4</w:t>
            </w:r>
          </w:p>
        </w:tc>
        <w:tc>
          <w:tcPr>
            <w:tcW w:w="3754" w:type="dxa"/>
          </w:tcPr>
          <w:p>
            <w:pPr>
              <w:pStyle w:val="0"/>
              <w:ind w:firstLine="540"/>
              <w:jc w:val="both"/>
            </w:pPr>
            <w:r>
              <w:rPr>
                <w:sz w:val="20"/>
              </w:rPr>
              <w:t xml:space="preserve">коэффициент для сетей диаметром от 100 мм до 150 мм (включительно)</w:t>
            </w:r>
          </w:p>
        </w:tc>
        <w:tc>
          <w:tcPr>
            <w:tcW w:w="1402" w:type="dxa"/>
            <w:vAlign w:val="center"/>
          </w:tcPr>
          <w:p>
            <w:pPr>
              <w:pStyle w:val="0"/>
              <w:jc w:val="center"/>
            </w:pPr>
            <w:r>
              <w:rPr>
                <w:sz w:val="20"/>
              </w:rPr>
              <w:t xml:space="preserve">-</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5.2.5</w:t>
            </w:r>
          </w:p>
        </w:tc>
        <w:tc>
          <w:tcPr>
            <w:tcW w:w="3754" w:type="dxa"/>
          </w:tcPr>
          <w:p>
            <w:pPr>
              <w:pStyle w:val="0"/>
              <w:ind w:firstLine="540"/>
              <w:jc w:val="both"/>
            </w:pPr>
            <w:r>
              <w:rPr>
                <w:sz w:val="20"/>
              </w:rPr>
              <w:t xml:space="preserve">коэффициент для сетей диаметром от 150 мм до 200 мм (включительно)</w:t>
            </w:r>
          </w:p>
        </w:tc>
        <w:tc>
          <w:tcPr>
            <w:tcW w:w="1402" w:type="dxa"/>
            <w:vAlign w:val="center"/>
          </w:tcPr>
          <w:p>
            <w:pPr>
              <w:pStyle w:val="0"/>
              <w:jc w:val="center"/>
            </w:pPr>
            <w:r>
              <w:rPr>
                <w:sz w:val="20"/>
              </w:rPr>
              <w:t xml:space="preserve">-</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5.2.6</w:t>
            </w:r>
          </w:p>
        </w:tc>
        <w:tc>
          <w:tcPr>
            <w:tcW w:w="3754" w:type="dxa"/>
          </w:tcPr>
          <w:p>
            <w:pPr>
              <w:pStyle w:val="0"/>
              <w:ind w:firstLine="540"/>
              <w:jc w:val="both"/>
            </w:pPr>
            <w:r>
              <w:rPr>
                <w:sz w:val="20"/>
              </w:rPr>
              <w:t xml:space="preserve">коэффициент для сетей диаметром от 200 мм до 250 мм (включительно)</w:t>
            </w:r>
          </w:p>
        </w:tc>
        <w:tc>
          <w:tcPr>
            <w:tcW w:w="1402" w:type="dxa"/>
            <w:vAlign w:val="center"/>
          </w:tcPr>
          <w:p>
            <w:pPr>
              <w:pStyle w:val="0"/>
              <w:jc w:val="center"/>
            </w:pPr>
            <w:r>
              <w:rPr>
                <w:sz w:val="20"/>
              </w:rPr>
              <w:t xml:space="preserve">-</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5.2.7</w:t>
            </w:r>
          </w:p>
        </w:tc>
        <w:tc>
          <w:tcPr>
            <w:tcW w:w="3754" w:type="dxa"/>
          </w:tcPr>
          <w:p>
            <w:pPr>
              <w:pStyle w:val="0"/>
              <w:ind w:firstLine="540"/>
              <w:jc w:val="both"/>
            </w:pPr>
            <w:r>
              <w:rPr>
                <w:sz w:val="20"/>
              </w:rPr>
              <w:t xml:space="preserve">коэффициент для сетей диаметром от 250 мм и более</w:t>
            </w:r>
          </w:p>
        </w:tc>
        <w:tc>
          <w:tcPr>
            <w:tcW w:w="1402" w:type="dxa"/>
            <w:vAlign w:val="center"/>
          </w:tcPr>
          <w:p>
            <w:pPr>
              <w:pStyle w:val="0"/>
              <w:jc w:val="center"/>
            </w:pPr>
            <w:r>
              <w:rPr>
                <w:sz w:val="20"/>
              </w:rPr>
              <w:t xml:space="preserve">-</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r>
        <w:tc>
          <w:tcPr>
            <w:tcW w:w="964" w:type="dxa"/>
            <w:vAlign w:val="center"/>
          </w:tcPr>
          <w:p>
            <w:pPr>
              <w:pStyle w:val="0"/>
            </w:pPr>
            <w:r>
              <w:rPr>
                <w:sz w:val="20"/>
              </w:rPr>
              <w:t xml:space="preserve">5.3</w:t>
            </w:r>
          </w:p>
        </w:tc>
        <w:tc>
          <w:tcPr>
            <w:tcW w:w="3754" w:type="dxa"/>
          </w:tcPr>
          <w:p>
            <w:pPr>
              <w:pStyle w:val="0"/>
              <w:ind w:firstLine="540"/>
              <w:jc w:val="both"/>
            </w:pPr>
            <w:r>
              <w:rPr>
                <w:sz w:val="20"/>
              </w:rPr>
              <w:t xml:space="preserve">Базовая ставка тарифа на подключаемую нагрузку</w:t>
            </w:r>
          </w:p>
        </w:tc>
        <w:tc>
          <w:tcPr>
            <w:tcW w:w="1402" w:type="dxa"/>
            <w:vAlign w:val="center"/>
          </w:tcPr>
          <w:p>
            <w:pPr>
              <w:pStyle w:val="0"/>
              <w:jc w:val="center"/>
            </w:pPr>
            <w:r>
              <w:rPr>
                <w:sz w:val="20"/>
              </w:rPr>
              <w:t xml:space="preserve">тыс. руб./куб. м</w:t>
            </w:r>
          </w:p>
        </w:tc>
        <w:tc>
          <w:tcPr>
            <w:tcW w:w="979" w:type="dxa"/>
            <w:vAlign w:val="center"/>
          </w:tcPr>
          <w:p>
            <w:pPr>
              <w:pStyle w:val="0"/>
            </w:pPr>
            <w:r>
              <w:rPr>
                <w:sz w:val="20"/>
              </w:rPr>
            </w:r>
          </w:p>
        </w:tc>
        <w:tc>
          <w:tcPr>
            <w:tcW w:w="737" w:type="dxa"/>
            <w:vAlign w:val="center"/>
          </w:tcPr>
          <w:p>
            <w:pPr>
              <w:pStyle w:val="0"/>
            </w:pPr>
            <w:r>
              <w:rPr>
                <w:sz w:val="20"/>
              </w:rPr>
            </w:r>
          </w:p>
        </w:tc>
        <w:tc>
          <w:tcPr>
            <w:tcW w:w="701" w:type="dxa"/>
            <w:vAlign w:val="center"/>
          </w:tcPr>
          <w:p>
            <w:pPr>
              <w:pStyle w:val="0"/>
            </w:pPr>
            <w:r>
              <w:rPr>
                <w:sz w:val="20"/>
              </w:rPr>
            </w:r>
          </w:p>
        </w:tc>
        <w:tc>
          <w:tcPr>
            <w:tcW w:w="720" w:type="dxa"/>
            <w:vAlign w:val="center"/>
          </w:tcPr>
          <w:p>
            <w:pPr>
              <w:pStyle w:val="0"/>
            </w:pPr>
            <w:r>
              <w:rPr>
                <w:sz w:val="20"/>
              </w:rPr>
            </w:r>
          </w:p>
        </w:tc>
        <w:tc>
          <w:tcPr>
            <w:tcW w:w="720" w:type="dxa"/>
            <w:vAlign w:val="center"/>
          </w:tcPr>
          <w:p>
            <w:pPr>
              <w:pStyle w:val="0"/>
            </w:pPr>
            <w:r>
              <w:rPr>
                <w:sz w:val="20"/>
              </w:rPr>
            </w:r>
          </w:p>
        </w:tc>
        <w:tc>
          <w:tcPr>
            <w:tcW w:w="730" w:type="dxa"/>
            <w:vAlign w:val="center"/>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483"/>
      <w:headerReference w:type="first" r:id="rId483"/>
      <w:footerReference w:type="default" r:id="rId484"/>
      <w:footerReference w:type="first" r:id="rId48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ФСТ России от 27.12.2013 N 1746-э</w:t>
            <w:br/>
            <w:t>(ред. от 15.07.2024)</w:t>
            <w:br/>
            <w:t>"Об утверждении Методических указаний по расчету регулируе...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ФСТ России от 27.12.2013 N 1746-э</w:t>
            <w:br/>
            <w:t>(ред. от 15.07.2024)</w:t>
            <w:br/>
            <w:t>"Об утверждении Методических указаний по расчету регулируе...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172763&amp;dst=100006" TargetMode = "External"/><Relationship Id="rId9" Type="http://schemas.openxmlformats.org/officeDocument/2006/relationships/hyperlink" Target="https://login.consultant.ru/link/?req=doc&amp;base=LAW&amp;n=182845&amp;dst=100007" TargetMode = "External"/><Relationship Id="rId10" Type="http://schemas.openxmlformats.org/officeDocument/2006/relationships/hyperlink" Target="https://login.consultant.ru/link/?req=doc&amp;base=LAW&amp;n=221027&amp;dst=100007" TargetMode = "External"/><Relationship Id="rId11" Type="http://schemas.openxmlformats.org/officeDocument/2006/relationships/hyperlink" Target="https://login.consultant.ru/link/?req=doc&amp;base=LAW&amp;n=278503&amp;dst=100006" TargetMode = "External"/><Relationship Id="rId12" Type="http://schemas.openxmlformats.org/officeDocument/2006/relationships/hyperlink" Target="https://login.consultant.ru/link/?req=doc&amp;base=LAW&amp;n=307689&amp;dst=100006" TargetMode = "External"/><Relationship Id="rId13" Type="http://schemas.openxmlformats.org/officeDocument/2006/relationships/hyperlink" Target="https://login.consultant.ru/link/?req=doc&amp;base=LAW&amp;n=338501&amp;dst=100006" TargetMode = "External"/><Relationship Id="rId14" Type="http://schemas.openxmlformats.org/officeDocument/2006/relationships/hyperlink" Target="https://login.consultant.ru/link/?req=doc&amp;base=LAW&amp;n=369328&amp;dst=100006" TargetMode = "External"/><Relationship Id="rId15" Type="http://schemas.openxmlformats.org/officeDocument/2006/relationships/hyperlink" Target="https://login.consultant.ru/link/?req=doc&amp;base=LAW&amp;n=413946&amp;dst=100007" TargetMode = "External"/><Relationship Id="rId16" Type="http://schemas.openxmlformats.org/officeDocument/2006/relationships/hyperlink" Target="https://login.consultant.ru/link/?req=doc&amp;base=LAW&amp;n=417128&amp;dst=100007" TargetMode = "External"/><Relationship Id="rId17" Type="http://schemas.openxmlformats.org/officeDocument/2006/relationships/hyperlink" Target="https://login.consultant.ru/link/?req=doc&amp;base=LAW&amp;n=421209&amp;dst=100007" TargetMode = "External"/><Relationship Id="rId18" Type="http://schemas.openxmlformats.org/officeDocument/2006/relationships/hyperlink" Target="https://login.consultant.ru/link/?req=doc&amp;base=LAW&amp;n=422888&amp;dst=100006" TargetMode = "External"/><Relationship Id="rId19" Type="http://schemas.openxmlformats.org/officeDocument/2006/relationships/hyperlink" Target="https://login.consultant.ru/link/?req=doc&amp;base=LAW&amp;n=455707&amp;dst=100007" TargetMode = "External"/><Relationship Id="rId20" Type="http://schemas.openxmlformats.org/officeDocument/2006/relationships/hyperlink" Target="https://login.consultant.ru/link/?req=doc&amp;base=LAW&amp;n=485185&amp;dst=100006" TargetMode = "External"/><Relationship Id="rId21" Type="http://schemas.openxmlformats.org/officeDocument/2006/relationships/hyperlink" Target="https://login.consultant.ru/link/?req=doc&amp;base=LAW&amp;n=481921&amp;dst=100007" TargetMode = "External"/><Relationship Id="rId22" Type="http://schemas.openxmlformats.org/officeDocument/2006/relationships/hyperlink" Target="https://login.consultant.ru/link/?req=doc&amp;base=LAW&amp;n=479640&amp;dst=100071" TargetMode = "External"/><Relationship Id="rId23" Type="http://schemas.openxmlformats.org/officeDocument/2006/relationships/hyperlink" Target="https://login.consultant.ru/link/?req=doc&amp;base=LAW&amp;n=506307&amp;dst=100015" TargetMode = "External"/><Relationship Id="rId24" Type="http://schemas.openxmlformats.org/officeDocument/2006/relationships/hyperlink" Target="https://login.consultant.ru/link/?req=doc&amp;base=LAW&amp;n=455707&amp;dst=100022" TargetMode = "External"/><Relationship Id="rId25" Type="http://schemas.openxmlformats.org/officeDocument/2006/relationships/hyperlink" Target="https://login.consultant.ru/link/?req=doc&amp;base=LAW&amp;n=172763&amp;dst=100006" TargetMode = "External"/><Relationship Id="rId26" Type="http://schemas.openxmlformats.org/officeDocument/2006/relationships/hyperlink" Target="https://login.consultant.ru/link/?req=doc&amp;base=LAW&amp;n=182845&amp;dst=100007" TargetMode = "External"/><Relationship Id="rId27" Type="http://schemas.openxmlformats.org/officeDocument/2006/relationships/hyperlink" Target="https://login.consultant.ru/link/?req=doc&amp;base=LAW&amp;n=221027&amp;dst=100007" TargetMode = "External"/><Relationship Id="rId28" Type="http://schemas.openxmlformats.org/officeDocument/2006/relationships/hyperlink" Target="https://login.consultant.ru/link/?req=doc&amp;base=LAW&amp;n=278503&amp;dst=100006" TargetMode = "External"/><Relationship Id="rId29" Type="http://schemas.openxmlformats.org/officeDocument/2006/relationships/hyperlink" Target="https://login.consultant.ru/link/?req=doc&amp;base=LAW&amp;n=307689&amp;dst=100011" TargetMode = "External"/><Relationship Id="rId30" Type="http://schemas.openxmlformats.org/officeDocument/2006/relationships/hyperlink" Target="https://login.consultant.ru/link/?req=doc&amp;base=LAW&amp;n=338501&amp;dst=100006" TargetMode = "External"/><Relationship Id="rId31" Type="http://schemas.openxmlformats.org/officeDocument/2006/relationships/hyperlink" Target="https://login.consultant.ru/link/?req=doc&amp;base=LAW&amp;n=369328&amp;dst=100006" TargetMode = "External"/><Relationship Id="rId32" Type="http://schemas.openxmlformats.org/officeDocument/2006/relationships/hyperlink" Target="https://login.consultant.ru/link/?req=doc&amp;base=LAW&amp;n=413946&amp;dst=100007" TargetMode = "External"/><Relationship Id="rId33" Type="http://schemas.openxmlformats.org/officeDocument/2006/relationships/hyperlink" Target="https://login.consultant.ru/link/?req=doc&amp;base=LAW&amp;n=417128&amp;dst=100007" TargetMode = "External"/><Relationship Id="rId34" Type="http://schemas.openxmlformats.org/officeDocument/2006/relationships/hyperlink" Target="https://login.consultant.ru/link/?req=doc&amp;base=LAW&amp;n=421209&amp;dst=100020" TargetMode = "External"/><Relationship Id="rId35" Type="http://schemas.openxmlformats.org/officeDocument/2006/relationships/hyperlink" Target="https://login.consultant.ru/link/?req=doc&amp;base=LAW&amp;n=422888&amp;dst=100006" TargetMode = "External"/><Relationship Id="rId36" Type="http://schemas.openxmlformats.org/officeDocument/2006/relationships/hyperlink" Target="https://login.consultant.ru/link/?req=doc&amp;base=LAW&amp;n=455707&amp;dst=100024" TargetMode = "External"/><Relationship Id="rId37" Type="http://schemas.openxmlformats.org/officeDocument/2006/relationships/hyperlink" Target="https://login.consultant.ru/link/?req=doc&amp;base=LAW&amp;n=485185&amp;dst=100006" TargetMode = "External"/><Relationship Id="rId38" Type="http://schemas.openxmlformats.org/officeDocument/2006/relationships/hyperlink" Target="https://login.consultant.ru/link/?req=doc&amp;base=LAW&amp;n=481921&amp;dst=100007" TargetMode = "External"/><Relationship Id="rId39" Type="http://schemas.openxmlformats.org/officeDocument/2006/relationships/hyperlink" Target="https://login.consultant.ru/link/?req=doc&amp;base=LAW&amp;n=479640&amp;dst=100467" TargetMode = "External"/><Relationship Id="rId40" Type="http://schemas.openxmlformats.org/officeDocument/2006/relationships/hyperlink" Target="https://login.consultant.ru/link/?req=doc&amp;base=LAW&amp;n=506307&amp;dst=100023" TargetMode = "External"/><Relationship Id="rId41" Type="http://schemas.openxmlformats.org/officeDocument/2006/relationships/hyperlink" Target="https://login.consultant.ru/link/?req=doc&amp;base=LAW&amp;n=506307&amp;dst=100307" TargetMode = "External"/><Relationship Id="rId42" Type="http://schemas.openxmlformats.org/officeDocument/2006/relationships/hyperlink" Target="https://login.consultant.ru/link/?req=doc&amp;base=LAW&amp;n=463198&amp;dst=100011" TargetMode = "External"/><Relationship Id="rId43" Type="http://schemas.openxmlformats.org/officeDocument/2006/relationships/hyperlink" Target="https://login.consultant.ru/link/?req=doc&amp;base=LAW&amp;n=463212&amp;dst=100013" TargetMode = "External"/><Relationship Id="rId44" Type="http://schemas.openxmlformats.org/officeDocument/2006/relationships/hyperlink" Target="https://login.consultant.ru/link/?req=doc&amp;base=LAW&amp;n=506307&amp;dst=194" TargetMode = "External"/><Relationship Id="rId45" Type="http://schemas.openxmlformats.org/officeDocument/2006/relationships/hyperlink" Target="https://login.consultant.ru/link/?req=doc&amp;base=LAW&amp;n=413946&amp;dst=100019" TargetMode = "External"/><Relationship Id="rId46" Type="http://schemas.openxmlformats.org/officeDocument/2006/relationships/hyperlink" Target="https://login.consultant.ru/link/?req=doc&amp;base=LAW&amp;n=417128&amp;dst=100017" TargetMode = "External"/><Relationship Id="rId47" Type="http://schemas.openxmlformats.org/officeDocument/2006/relationships/hyperlink" Target="https://login.consultant.ru/link/?req=doc&amp;base=LAW&amp;n=421209&amp;dst=100021" TargetMode = "External"/><Relationship Id="rId48" Type="http://schemas.openxmlformats.org/officeDocument/2006/relationships/image" Target="media/image2.wmf"/><Relationship Id="rId49" Type="http://schemas.openxmlformats.org/officeDocument/2006/relationships/image" Target="media/image3.wmf"/><Relationship Id="rId50" Type="http://schemas.openxmlformats.org/officeDocument/2006/relationships/image" Target="media/image4.wmf"/><Relationship Id="rId51" Type="http://schemas.openxmlformats.org/officeDocument/2006/relationships/image" Target="media/image5.wmf"/><Relationship Id="rId52" Type="http://schemas.openxmlformats.org/officeDocument/2006/relationships/image" Target="media/image6.wmf"/><Relationship Id="rId53" Type="http://schemas.openxmlformats.org/officeDocument/2006/relationships/image" Target="media/image7.wmf"/><Relationship Id="rId54" Type="http://schemas.openxmlformats.org/officeDocument/2006/relationships/hyperlink" Target="https://login.consultant.ru/link/?req=doc&amp;base=LAW&amp;n=158983&amp;dst=10" TargetMode = "External"/><Relationship Id="rId55" Type="http://schemas.openxmlformats.org/officeDocument/2006/relationships/hyperlink" Target="https://login.consultant.ru/link/?req=doc&amp;base=LAW&amp;n=301407&amp;dst=100012" TargetMode = "External"/><Relationship Id="rId56" Type="http://schemas.openxmlformats.org/officeDocument/2006/relationships/hyperlink" Target="https://login.consultant.ru/link/?req=doc&amp;base=LAW&amp;n=506307&amp;dst=100133" TargetMode = "External"/><Relationship Id="rId57" Type="http://schemas.openxmlformats.org/officeDocument/2006/relationships/hyperlink" Target="https://login.consultant.ru/link/?req=doc&amp;base=LAW&amp;n=172763&amp;dst=100018" TargetMode = "External"/><Relationship Id="rId58" Type="http://schemas.openxmlformats.org/officeDocument/2006/relationships/hyperlink" Target="https://login.consultant.ru/link/?req=doc&amp;base=LAW&amp;n=353496&amp;dst=100013" TargetMode = "External"/><Relationship Id="rId59" Type="http://schemas.openxmlformats.org/officeDocument/2006/relationships/hyperlink" Target="https://login.consultant.ru/link/?req=doc&amp;base=LAW&amp;n=369328&amp;dst=100013" TargetMode = "External"/><Relationship Id="rId60" Type="http://schemas.openxmlformats.org/officeDocument/2006/relationships/hyperlink" Target="https://login.consultant.ru/link/?req=doc&amp;base=LAW&amp;n=172763&amp;dst=100019" TargetMode = "External"/><Relationship Id="rId61" Type="http://schemas.openxmlformats.org/officeDocument/2006/relationships/hyperlink" Target="https://login.consultant.ru/link/?req=doc&amp;base=LAW&amp;n=511073" TargetMode = "External"/><Relationship Id="rId62" Type="http://schemas.openxmlformats.org/officeDocument/2006/relationships/hyperlink" Target="https://login.consultant.ru/link/?req=doc&amp;base=LAW&amp;n=422888&amp;dst=100012" TargetMode = "External"/><Relationship Id="rId63" Type="http://schemas.openxmlformats.org/officeDocument/2006/relationships/hyperlink" Target="https://login.consultant.ru/link/?req=doc&amp;base=LAW&amp;n=422888&amp;dst=100018" TargetMode = "External"/><Relationship Id="rId64" Type="http://schemas.openxmlformats.org/officeDocument/2006/relationships/hyperlink" Target="https://login.consultant.ru/link/?req=doc&amp;base=LAW&amp;n=422888&amp;dst=100022" TargetMode = "External"/><Relationship Id="rId65" Type="http://schemas.openxmlformats.org/officeDocument/2006/relationships/hyperlink" Target="https://login.consultant.ru/link/?req=doc&amp;base=LAW&amp;n=506307&amp;dst=100188" TargetMode = "External"/><Relationship Id="rId66" Type="http://schemas.openxmlformats.org/officeDocument/2006/relationships/hyperlink" Target="https://login.consultant.ru/link/?req=doc&amp;base=LAW&amp;n=172763&amp;dst=100020" TargetMode = "External"/><Relationship Id="rId67" Type="http://schemas.openxmlformats.org/officeDocument/2006/relationships/hyperlink" Target="https://login.consultant.ru/link/?req=doc&amp;base=LAW&amp;n=481921&amp;dst=100041" TargetMode = "External"/><Relationship Id="rId68" Type="http://schemas.openxmlformats.org/officeDocument/2006/relationships/hyperlink" Target="https://login.consultant.ru/link/?req=doc&amp;base=LAW&amp;n=422888&amp;dst=100024" TargetMode = "External"/><Relationship Id="rId69" Type="http://schemas.openxmlformats.org/officeDocument/2006/relationships/hyperlink" Target="https://login.consultant.ru/link/?req=doc&amp;base=LAW&amp;n=481921&amp;dst=100042" TargetMode = "External"/><Relationship Id="rId70" Type="http://schemas.openxmlformats.org/officeDocument/2006/relationships/hyperlink" Target="https://login.consultant.ru/link/?req=doc&amp;base=LAW&amp;n=422888&amp;dst=100026" TargetMode = "External"/><Relationship Id="rId71" Type="http://schemas.openxmlformats.org/officeDocument/2006/relationships/hyperlink" Target="https://login.consultant.ru/link/?req=doc&amp;base=LAW&amp;n=369328&amp;dst=100014" TargetMode = "External"/><Relationship Id="rId72" Type="http://schemas.openxmlformats.org/officeDocument/2006/relationships/hyperlink" Target="https://login.consultant.ru/link/?req=doc&amp;base=LAW&amp;n=172763&amp;dst=100022" TargetMode = "External"/><Relationship Id="rId73" Type="http://schemas.openxmlformats.org/officeDocument/2006/relationships/hyperlink" Target="https://login.consultant.ru/link/?req=doc&amp;base=LAW&amp;n=422888&amp;dst=100028" TargetMode = "External"/><Relationship Id="rId74" Type="http://schemas.openxmlformats.org/officeDocument/2006/relationships/hyperlink" Target="https://login.consultant.ru/link/?req=doc&amp;base=LAW&amp;n=422888&amp;dst=100030" TargetMode = "External"/><Relationship Id="rId75" Type="http://schemas.openxmlformats.org/officeDocument/2006/relationships/hyperlink" Target="https://login.consultant.ru/link/?req=doc&amp;base=LAW&amp;n=172763&amp;dst=100024" TargetMode = "External"/><Relationship Id="rId76" Type="http://schemas.openxmlformats.org/officeDocument/2006/relationships/hyperlink" Target="https://login.consultant.ru/link/?req=doc&amp;base=LAW&amp;n=422888&amp;dst=100032" TargetMode = "External"/><Relationship Id="rId77" Type="http://schemas.openxmlformats.org/officeDocument/2006/relationships/hyperlink" Target="https://login.consultant.ru/link/?req=doc&amp;base=LAW&amp;n=422888&amp;dst=100034" TargetMode = "External"/><Relationship Id="rId78" Type="http://schemas.openxmlformats.org/officeDocument/2006/relationships/hyperlink" Target="https://login.consultant.ru/link/?req=doc&amp;base=LAW&amp;n=486149&amp;dst=100021" TargetMode = "External"/><Relationship Id="rId79" Type="http://schemas.openxmlformats.org/officeDocument/2006/relationships/hyperlink" Target="https://login.consultant.ru/link/?req=doc&amp;base=LAW&amp;n=431832&amp;dst=378" TargetMode = "External"/><Relationship Id="rId80" Type="http://schemas.openxmlformats.org/officeDocument/2006/relationships/hyperlink" Target="https://login.consultant.ru/link/?req=doc&amp;base=LAW&amp;n=422888&amp;dst=100054" TargetMode = "External"/><Relationship Id="rId81" Type="http://schemas.openxmlformats.org/officeDocument/2006/relationships/hyperlink" Target="https://login.consultant.ru/link/?req=doc&amp;base=LAW&amp;n=212833&amp;dst=100032" TargetMode = "External"/><Relationship Id="rId82" Type="http://schemas.openxmlformats.org/officeDocument/2006/relationships/hyperlink" Target="https://login.consultant.ru/link/?req=doc&amp;base=LAW&amp;n=182845&amp;dst=100017" TargetMode = "External"/><Relationship Id="rId83" Type="http://schemas.openxmlformats.org/officeDocument/2006/relationships/hyperlink" Target="https://login.consultant.ru/link/?req=doc&amp;base=LAW&amp;n=221027&amp;dst=100021" TargetMode = "External"/><Relationship Id="rId84" Type="http://schemas.openxmlformats.org/officeDocument/2006/relationships/hyperlink" Target="https://login.consultant.ru/link/?req=doc&amp;base=LAW&amp;n=483130" TargetMode = "External"/><Relationship Id="rId85" Type="http://schemas.openxmlformats.org/officeDocument/2006/relationships/hyperlink" Target="https://login.consultant.ru/link/?req=doc&amp;base=LAW&amp;n=483130" TargetMode = "External"/><Relationship Id="rId86" Type="http://schemas.openxmlformats.org/officeDocument/2006/relationships/hyperlink" Target="https://login.consultant.ru/link/?req=doc&amp;base=LAW&amp;n=172763&amp;dst=100025" TargetMode = "External"/><Relationship Id="rId87" Type="http://schemas.openxmlformats.org/officeDocument/2006/relationships/hyperlink" Target="https://login.consultant.ru/link/?req=doc&amp;base=LAW&amp;n=506307&amp;dst=39" TargetMode = "External"/><Relationship Id="rId88" Type="http://schemas.openxmlformats.org/officeDocument/2006/relationships/hyperlink" Target="https://login.consultant.ru/link/?req=doc&amp;base=LAW&amp;n=278503&amp;dst=100012" TargetMode = "External"/><Relationship Id="rId89" Type="http://schemas.openxmlformats.org/officeDocument/2006/relationships/hyperlink" Target="https://login.consultant.ru/link/?req=doc&amp;base=LAW&amp;n=278503&amp;dst=100013" TargetMode = "External"/><Relationship Id="rId90" Type="http://schemas.openxmlformats.org/officeDocument/2006/relationships/hyperlink" Target="https://login.consultant.ru/link/?req=doc&amp;base=LAW&amp;n=172763&amp;dst=100026" TargetMode = "External"/><Relationship Id="rId91" Type="http://schemas.openxmlformats.org/officeDocument/2006/relationships/hyperlink" Target="https://login.consultant.ru/link/?req=doc&amp;base=LAW&amp;n=506307&amp;dst=100116" TargetMode = "External"/><Relationship Id="rId92" Type="http://schemas.openxmlformats.org/officeDocument/2006/relationships/hyperlink" Target="https://login.consultant.ru/link/?req=doc&amp;base=LAW&amp;n=506307&amp;dst=100128" TargetMode = "External"/><Relationship Id="rId93" Type="http://schemas.openxmlformats.org/officeDocument/2006/relationships/hyperlink" Target="https://login.consultant.ru/link/?req=doc&amp;base=LAW&amp;n=369328&amp;dst=100016" TargetMode = "External"/><Relationship Id="rId94" Type="http://schemas.openxmlformats.org/officeDocument/2006/relationships/image" Target="media/image8.wmf"/><Relationship Id="rId95" Type="http://schemas.openxmlformats.org/officeDocument/2006/relationships/image" Target="media/image9.wmf"/><Relationship Id="rId96" Type="http://schemas.openxmlformats.org/officeDocument/2006/relationships/image" Target="media/image10.wmf"/><Relationship Id="rId97" Type="http://schemas.openxmlformats.org/officeDocument/2006/relationships/image" Target="media/image11.wmf"/><Relationship Id="rId98" Type="http://schemas.openxmlformats.org/officeDocument/2006/relationships/image" Target="media/image12.wmf"/><Relationship Id="rId99" Type="http://schemas.openxmlformats.org/officeDocument/2006/relationships/image" Target="media/image13.wmf"/><Relationship Id="rId100" Type="http://schemas.openxmlformats.org/officeDocument/2006/relationships/image" Target="media/image14.wmf"/><Relationship Id="rId101" Type="http://schemas.openxmlformats.org/officeDocument/2006/relationships/image" Target="media/image15.wmf"/><Relationship Id="rId102" Type="http://schemas.openxmlformats.org/officeDocument/2006/relationships/image" Target="media/image16.wmf"/><Relationship Id="rId103" Type="http://schemas.openxmlformats.org/officeDocument/2006/relationships/image" Target="media/image17.wmf"/><Relationship Id="rId104" Type="http://schemas.openxmlformats.org/officeDocument/2006/relationships/image" Target="media/image18.wmf"/><Relationship Id="rId105" Type="http://schemas.openxmlformats.org/officeDocument/2006/relationships/hyperlink" Target="https://login.consultant.ru/link/?req=doc&amp;base=LAW&amp;n=172763&amp;dst=100031" TargetMode = "External"/><Relationship Id="rId106" Type="http://schemas.openxmlformats.org/officeDocument/2006/relationships/hyperlink" Target="https://login.consultant.ru/link/?req=doc&amp;base=LAW&amp;n=172763&amp;dst=100033" TargetMode = "External"/><Relationship Id="rId107" Type="http://schemas.openxmlformats.org/officeDocument/2006/relationships/image" Target="media/image19.wmf"/><Relationship Id="rId108" Type="http://schemas.openxmlformats.org/officeDocument/2006/relationships/image" Target="media/image20.wmf"/><Relationship Id="rId109" Type="http://schemas.openxmlformats.org/officeDocument/2006/relationships/image" Target="media/image21.wmf"/><Relationship Id="rId110" Type="http://schemas.openxmlformats.org/officeDocument/2006/relationships/image" Target="media/image22.wmf"/><Relationship Id="rId111" Type="http://schemas.openxmlformats.org/officeDocument/2006/relationships/image" Target="media/image23.wmf"/><Relationship Id="rId112" Type="http://schemas.openxmlformats.org/officeDocument/2006/relationships/hyperlink" Target="https://login.consultant.ru/link/?req=doc&amp;base=LAW&amp;n=338501&amp;dst=100012" TargetMode = "External"/><Relationship Id="rId113" Type="http://schemas.openxmlformats.org/officeDocument/2006/relationships/image" Target="media/image24.wmf"/><Relationship Id="rId114" Type="http://schemas.openxmlformats.org/officeDocument/2006/relationships/image" Target="media/image25.wmf"/><Relationship Id="rId115" Type="http://schemas.openxmlformats.org/officeDocument/2006/relationships/image" Target="media/image26.wmf"/><Relationship Id="rId116" Type="http://schemas.openxmlformats.org/officeDocument/2006/relationships/image" Target="media/image27.wmf"/><Relationship Id="rId117" Type="http://schemas.openxmlformats.org/officeDocument/2006/relationships/image" Target="media/image28.wmf"/><Relationship Id="rId118" Type="http://schemas.openxmlformats.org/officeDocument/2006/relationships/hyperlink" Target="https://login.consultant.ru/link/?req=doc&amp;base=LAW&amp;n=338501&amp;dst=100014" TargetMode = "External"/><Relationship Id="rId119" Type="http://schemas.openxmlformats.org/officeDocument/2006/relationships/hyperlink" Target="https://login.consultant.ru/link/?req=doc&amp;base=LAW&amp;n=485185&amp;dst=100011" TargetMode = "External"/><Relationship Id="rId120" Type="http://schemas.openxmlformats.org/officeDocument/2006/relationships/image" Target="media/image29.wmf"/><Relationship Id="rId121" Type="http://schemas.openxmlformats.org/officeDocument/2006/relationships/hyperlink" Target="https://login.consultant.ru/link/?req=doc&amp;base=LAW&amp;n=485185&amp;dst=100012" TargetMode = "External"/><Relationship Id="rId122" Type="http://schemas.openxmlformats.org/officeDocument/2006/relationships/hyperlink" Target="https://login.consultant.ru/link/?req=doc&amp;base=LAW&amp;n=485185&amp;dst=100014" TargetMode = "External"/><Relationship Id="rId123" Type="http://schemas.openxmlformats.org/officeDocument/2006/relationships/image" Target="media/image30.wmf"/><Relationship Id="rId124" Type="http://schemas.openxmlformats.org/officeDocument/2006/relationships/image" Target="media/image31.wmf"/><Relationship Id="rId125" Type="http://schemas.openxmlformats.org/officeDocument/2006/relationships/image" Target="media/image32.wmf"/><Relationship Id="rId126" Type="http://schemas.openxmlformats.org/officeDocument/2006/relationships/image" Target="media/image33.wmf"/><Relationship Id="rId127" Type="http://schemas.openxmlformats.org/officeDocument/2006/relationships/image" Target="media/image34.wmf"/><Relationship Id="rId128" Type="http://schemas.openxmlformats.org/officeDocument/2006/relationships/hyperlink" Target="https://login.consultant.ru/link/?req=doc&amp;base=LAW&amp;n=369328&amp;dst=100050" TargetMode = "External"/><Relationship Id="rId129" Type="http://schemas.openxmlformats.org/officeDocument/2006/relationships/hyperlink" Target="https://login.consultant.ru/link/?req=doc&amp;base=LAW&amp;n=338501&amp;dst=100017" TargetMode = "External"/><Relationship Id="rId130" Type="http://schemas.openxmlformats.org/officeDocument/2006/relationships/hyperlink" Target="https://login.consultant.ru/link/?req=doc&amp;base=LAW&amp;n=338501&amp;dst=100019" TargetMode = "External"/><Relationship Id="rId131" Type="http://schemas.openxmlformats.org/officeDocument/2006/relationships/hyperlink" Target="https://login.consultant.ru/link/?req=doc&amp;base=LAW&amp;n=338501&amp;dst=100021" TargetMode = "External"/><Relationship Id="rId132" Type="http://schemas.openxmlformats.org/officeDocument/2006/relationships/hyperlink" Target="https://login.consultant.ru/link/?req=doc&amp;base=LAW&amp;n=338501&amp;dst=100022" TargetMode = "External"/><Relationship Id="rId133" Type="http://schemas.openxmlformats.org/officeDocument/2006/relationships/hyperlink" Target="https://login.consultant.ru/link/?req=doc&amp;base=LAW&amp;n=338501&amp;dst=100023" TargetMode = "External"/><Relationship Id="rId134" Type="http://schemas.openxmlformats.org/officeDocument/2006/relationships/image" Target="media/image35.wmf"/><Relationship Id="rId135" Type="http://schemas.openxmlformats.org/officeDocument/2006/relationships/image" Target="media/image36.wmf"/><Relationship Id="rId136" Type="http://schemas.openxmlformats.org/officeDocument/2006/relationships/image" Target="media/image37.wmf"/><Relationship Id="rId137" Type="http://schemas.openxmlformats.org/officeDocument/2006/relationships/image" Target="media/image38.wmf"/><Relationship Id="rId138" Type="http://schemas.openxmlformats.org/officeDocument/2006/relationships/hyperlink" Target="https://login.consultant.ru/link/?req=doc&amp;base=LAW&amp;n=369328&amp;dst=100051" TargetMode = "External"/><Relationship Id="rId139" Type="http://schemas.openxmlformats.org/officeDocument/2006/relationships/image" Target="media/image39.wmf"/><Relationship Id="rId140" Type="http://schemas.openxmlformats.org/officeDocument/2006/relationships/image" Target="media/image40.wmf"/><Relationship Id="rId141" Type="http://schemas.openxmlformats.org/officeDocument/2006/relationships/image" Target="media/image41.wmf"/><Relationship Id="rId142" Type="http://schemas.openxmlformats.org/officeDocument/2006/relationships/image" Target="media/image42.wmf"/><Relationship Id="rId143" Type="http://schemas.openxmlformats.org/officeDocument/2006/relationships/image" Target="media/image43.wmf"/><Relationship Id="rId144" Type="http://schemas.openxmlformats.org/officeDocument/2006/relationships/image" Target="media/image44.wmf"/><Relationship Id="rId145" Type="http://schemas.openxmlformats.org/officeDocument/2006/relationships/hyperlink" Target="https://login.consultant.ru/link/?req=doc&amp;base=LAW&amp;n=221027&amp;dst=100024" TargetMode = "External"/><Relationship Id="rId146" Type="http://schemas.openxmlformats.org/officeDocument/2006/relationships/hyperlink" Target="https://login.consultant.ru/link/?req=doc&amp;base=LAW&amp;n=221027&amp;dst=100025" TargetMode = "External"/><Relationship Id="rId147" Type="http://schemas.openxmlformats.org/officeDocument/2006/relationships/hyperlink" Target="https://login.consultant.ru/link/?req=doc&amp;base=LAW&amp;n=221027&amp;dst=100027" TargetMode = "External"/><Relationship Id="rId148" Type="http://schemas.openxmlformats.org/officeDocument/2006/relationships/hyperlink" Target="https://login.consultant.ru/link/?req=doc&amp;base=LAW&amp;n=369328&amp;dst=100052" TargetMode = "External"/><Relationship Id="rId149" Type="http://schemas.openxmlformats.org/officeDocument/2006/relationships/image" Target="media/image45.wmf"/><Relationship Id="rId150" Type="http://schemas.openxmlformats.org/officeDocument/2006/relationships/image" Target="media/image46.wmf"/><Relationship Id="rId151" Type="http://schemas.openxmlformats.org/officeDocument/2006/relationships/image" Target="media/image47.wmf"/><Relationship Id="rId152" Type="http://schemas.openxmlformats.org/officeDocument/2006/relationships/image" Target="media/image48.wmf"/><Relationship Id="rId153" Type="http://schemas.openxmlformats.org/officeDocument/2006/relationships/image" Target="media/image49.wmf"/><Relationship Id="rId154" Type="http://schemas.openxmlformats.org/officeDocument/2006/relationships/image" Target="media/image50.wmf"/><Relationship Id="rId155" Type="http://schemas.openxmlformats.org/officeDocument/2006/relationships/image" Target="media/image51.wmf"/><Relationship Id="rId156" Type="http://schemas.openxmlformats.org/officeDocument/2006/relationships/hyperlink" Target="https://login.consultant.ru/link/?req=doc&amp;base=LAW&amp;n=481921&amp;dst=100043" TargetMode = "External"/><Relationship Id="rId157" Type="http://schemas.openxmlformats.org/officeDocument/2006/relationships/hyperlink" Target="https://login.consultant.ru/link/?req=doc&amp;base=LAW&amp;n=481921&amp;dst=100044" TargetMode = "External"/><Relationship Id="rId158" Type="http://schemas.openxmlformats.org/officeDocument/2006/relationships/hyperlink" Target="https://login.consultant.ru/link/?req=doc&amp;base=LAW&amp;n=481921&amp;dst=100045" TargetMode = "External"/><Relationship Id="rId159" Type="http://schemas.openxmlformats.org/officeDocument/2006/relationships/hyperlink" Target="https://login.consultant.ru/link/?req=doc&amp;base=LAW&amp;n=481921&amp;dst=100047" TargetMode = "External"/><Relationship Id="rId160" Type="http://schemas.openxmlformats.org/officeDocument/2006/relationships/image" Target="media/image52.wmf"/><Relationship Id="rId161" Type="http://schemas.openxmlformats.org/officeDocument/2006/relationships/image" Target="media/image53.wmf"/><Relationship Id="rId162" Type="http://schemas.openxmlformats.org/officeDocument/2006/relationships/image" Target="media/image54.wmf"/><Relationship Id="rId163" Type="http://schemas.openxmlformats.org/officeDocument/2006/relationships/image" Target="media/image55.wmf"/><Relationship Id="rId164" Type="http://schemas.openxmlformats.org/officeDocument/2006/relationships/image" Target="media/image56.wmf"/><Relationship Id="rId165" Type="http://schemas.openxmlformats.org/officeDocument/2006/relationships/image" Target="media/image57.wmf"/><Relationship Id="rId166" Type="http://schemas.openxmlformats.org/officeDocument/2006/relationships/image" Target="media/image58.wmf"/><Relationship Id="rId167" Type="http://schemas.openxmlformats.org/officeDocument/2006/relationships/image" Target="media/image59.wmf"/><Relationship Id="rId168" Type="http://schemas.openxmlformats.org/officeDocument/2006/relationships/image" Target="media/image60.wmf"/><Relationship Id="rId169" Type="http://schemas.openxmlformats.org/officeDocument/2006/relationships/image" Target="media/image61.wmf"/><Relationship Id="rId170" Type="http://schemas.openxmlformats.org/officeDocument/2006/relationships/image" Target="media/image62.wmf"/><Relationship Id="rId171" Type="http://schemas.openxmlformats.org/officeDocument/2006/relationships/image" Target="media/image63.wmf"/><Relationship Id="rId172" Type="http://schemas.openxmlformats.org/officeDocument/2006/relationships/image" Target="media/image64.wmf"/><Relationship Id="rId173" Type="http://schemas.openxmlformats.org/officeDocument/2006/relationships/image" Target="media/image65.wmf"/><Relationship Id="rId174" Type="http://schemas.openxmlformats.org/officeDocument/2006/relationships/image" Target="media/image66.wmf"/><Relationship Id="rId175" Type="http://schemas.openxmlformats.org/officeDocument/2006/relationships/image" Target="media/image67.wmf"/><Relationship Id="rId176" Type="http://schemas.openxmlformats.org/officeDocument/2006/relationships/image" Target="media/image68.wmf"/><Relationship Id="rId177" Type="http://schemas.openxmlformats.org/officeDocument/2006/relationships/image" Target="media/image69.wmf"/><Relationship Id="rId178" Type="http://schemas.openxmlformats.org/officeDocument/2006/relationships/image" Target="media/image70.wmf"/><Relationship Id="rId179" Type="http://schemas.openxmlformats.org/officeDocument/2006/relationships/image" Target="media/image71.wmf"/><Relationship Id="rId180" Type="http://schemas.openxmlformats.org/officeDocument/2006/relationships/image" Target="media/image72.wmf"/><Relationship Id="rId181" Type="http://schemas.openxmlformats.org/officeDocument/2006/relationships/image" Target="media/image73.wmf"/><Relationship Id="rId182" Type="http://schemas.openxmlformats.org/officeDocument/2006/relationships/image" Target="media/image74.wmf"/><Relationship Id="rId183" Type="http://schemas.openxmlformats.org/officeDocument/2006/relationships/image" Target="media/image75.wmf"/><Relationship Id="rId184" Type="http://schemas.openxmlformats.org/officeDocument/2006/relationships/image" Target="media/image76.wmf"/><Relationship Id="rId185" Type="http://schemas.openxmlformats.org/officeDocument/2006/relationships/image" Target="media/image77.wmf"/><Relationship Id="rId186" Type="http://schemas.openxmlformats.org/officeDocument/2006/relationships/image" Target="media/image78.wmf"/><Relationship Id="rId187" Type="http://schemas.openxmlformats.org/officeDocument/2006/relationships/image" Target="media/image79.wmf"/><Relationship Id="rId188" Type="http://schemas.openxmlformats.org/officeDocument/2006/relationships/image" Target="media/image80.wmf"/><Relationship Id="rId189" Type="http://schemas.openxmlformats.org/officeDocument/2006/relationships/image" Target="media/image81.wmf"/><Relationship Id="rId190" Type="http://schemas.openxmlformats.org/officeDocument/2006/relationships/image" Target="media/image82.wmf"/><Relationship Id="rId191" Type="http://schemas.openxmlformats.org/officeDocument/2006/relationships/image" Target="media/image83.wmf"/><Relationship Id="rId192" Type="http://schemas.openxmlformats.org/officeDocument/2006/relationships/image" Target="media/image84.wmf"/><Relationship Id="rId193" Type="http://schemas.openxmlformats.org/officeDocument/2006/relationships/image" Target="media/image85.wmf"/><Relationship Id="rId194" Type="http://schemas.openxmlformats.org/officeDocument/2006/relationships/hyperlink" Target="https://login.consultant.ru/link/?req=doc&amp;base=LAW&amp;n=481921&amp;dst=100048" TargetMode = "External"/><Relationship Id="rId195" Type="http://schemas.openxmlformats.org/officeDocument/2006/relationships/hyperlink" Target="https://login.consultant.ru/link/?req=doc&amp;base=LAW&amp;n=506307&amp;dst=100445" TargetMode = "External"/><Relationship Id="rId196" Type="http://schemas.openxmlformats.org/officeDocument/2006/relationships/image" Target="media/image86.wmf"/><Relationship Id="rId197" Type="http://schemas.openxmlformats.org/officeDocument/2006/relationships/image" Target="media/image87.wmf"/><Relationship Id="rId198" Type="http://schemas.openxmlformats.org/officeDocument/2006/relationships/image" Target="media/image88.wmf"/><Relationship Id="rId199" Type="http://schemas.openxmlformats.org/officeDocument/2006/relationships/image" Target="media/image89.wmf"/><Relationship Id="rId200" Type="http://schemas.openxmlformats.org/officeDocument/2006/relationships/image" Target="media/image90.wmf"/><Relationship Id="rId201" Type="http://schemas.openxmlformats.org/officeDocument/2006/relationships/image" Target="media/image91.wmf"/><Relationship Id="rId202" Type="http://schemas.openxmlformats.org/officeDocument/2006/relationships/image" Target="media/image92.wmf"/><Relationship Id="rId203" Type="http://schemas.openxmlformats.org/officeDocument/2006/relationships/image" Target="media/image93.wmf"/><Relationship Id="rId204" Type="http://schemas.openxmlformats.org/officeDocument/2006/relationships/image" Target="media/image94.wmf"/><Relationship Id="rId205" Type="http://schemas.openxmlformats.org/officeDocument/2006/relationships/image" Target="media/image95.wmf"/><Relationship Id="rId206" Type="http://schemas.openxmlformats.org/officeDocument/2006/relationships/image" Target="media/image96.wmf"/><Relationship Id="rId207" Type="http://schemas.openxmlformats.org/officeDocument/2006/relationships/hyperlink" Target="https://login.consultant.ru/link/?req=doc&amp;base=LAW&amp;n=220972" TargetMode = "External"/><Relationship Id="rId208" Type="http://schemas.openxmlformats.org/officeDocument/2006/relationships/image" Target="media/image97.wmf"/><Relationship Id="rId209" Type="http://schemas.openxmlformats.org/officeDocument/2006/relationships/hyperlink" Target="https://login.consultant.ru/link/?req=doc&amp;base=LAW&amp;n=220972" TargetMode = "External"/><Relationship Id="rId210" Type="http://schemas.openxmlformats.org/officeDocument/2006/relationships/hyperlink" Target="https://login.consultant.ru/link/?req=doc&amp;base=LAW&amp;n=506307&amp;dst=100459" TargetMode = "External"/><Relationship Id="rId211" Type="http://schemas.openxmlformats.org/officeDocument/2006/relationships/hyperlink" Target="https://login.consultant.ru/link/?req=doc&amp;base=LAW&amp;n=506307&amp;dst=100445" TargetMode = "External"/><Relationship Id="rId212" Type="http://schemas.openxmlformats.org/officeDocument/2006/relationships/image" Target="media/image98.wmf"/><Relationship Id="rId213" Type="http://schemas.openxmlformats.org/officeDocument/2006/relationships/image" Target="media/image99.wmf"/><Relationship Id="rId214" Type="http://schemas.openxmlformats.org/officeDocument/2006/relationships/image" Target="media/image100.wmf"/><Relationship Id="rId215" Type="http://schemas.openxmlformats.org/officeDocument/2006/relationships/image" Target="media/image101.wmf"/><Relationship Id="rId216" Type="http://schemas.openxmlformats.org/officeDocument/2006/relationships/image" Target="media/image102.wmf"/><Relationship Id="rId217" Type="http://schemas.openxmlformats.org/officeDocument/2006/relationships/image" Target="media/image103.wmf"/><Relationship Id="rId218" Type="http://schemas.openxmlformats.org/officeDocument/2006/relationships/image" Target="media/image104.wmf"/><Relationship Id="rId219" Type="http://schemas.openxmlformats.org/officeDocument/2006/relationships/image" Target="media/image105.wmf"/><Relationship Id="rId220" Type="http://schemas.openxmlformats.org/officeDocument/2006/relationships/image" Target="media/image106.wmf"/><Relationship Id="rId221" Type="http://schemas.openxmlformats.org/officeDocument/2006/relationships/image" Target="media/image107.wmf"/><Relationship Id="rId222" Type="http://schemas.openxmlformats.org/officeDocument/2006/relationships/image" Target="media/image108.wmf"/><Relationship Id="rId223" Type="http://schemas.openxmlformats.org/officeDocument/2006/relationships/image" Target="media/image109.wmf"/><Relationship Id="rId224" Type="http://schemas.openxmlformats.org/officeDocument/2006/relationships/image" Target="media/image110.wmf"/><Relationship Id="rId225" Type="http://schemas.openxmlformats.org/officeDocument/2006/relationships/image" Target="media/image111.wmf"/><Relationship Id="rId226" Type="http://schemas.openxmlformats.org/officeDocument/2006/relationships/image" Target="media/image112.wmf"/><Relationship Id="rId227" Type="http://schemas.openxmlformats.org/officeDocument/2006/relationships/image" Target="media/image113.wmf"/><Relationship Id="rId228" Type="http://schemas.openxmlformats.org/officeDocument/2006/relationships/image" Target="media/image114.wmf"/><Relationship Id="rId229" Type="http://schemas.openxmlformats.org/officeDocument/2006/relationships/image" Target="media/image115.wmf"/><Relationship Id="rId230" Type="http://schemas.openxmlformats.org/officeDocument/2006/relationships/image" Target="media/image116.wmf"/><Relationship Id="rId231" Type="http://schemas.openxmlformats.org/officeDocument/2006/relationships/image" Target="media/image117.wmf"/><Relationship Id="rId232" Type="http://schemas.openxmlformats.org/officeDocument/2006/relationships/image" Target="media/image118.wmf"/><Relationship Id="rId233" Type="http://schemas.openxmlformats.org/officeDocument/2006/relationships/image" Target="media/image119.wmf"/><Relationship Id="rId234" Type="http://schemas.openxmlformats.org/officeDocument/2006/relationships/image" Target="media/image120.wmf"/><Relationship Id="rId235" Type="http://schemas.openxmlformats.org/officeDocument/2006/relationships/image" Target="media/image121.wmf"/><Relationship Id="rId236" Type="http://schemas.openxmlformats.org/officeDocument/2006/relationships/image" Target="media/image122.wmf"/><Relationship Id="rId237" Type="http://schemas.openxmlformats.org/officeDocument/2006/relationships/image" Target="media/image123.wmf"/><Relationship Id="rId238" Type="http://schemas.openxmlformats.org/officeDocument/2006/relationships/image" Target="media/image124.wmf"/><Relationship Id="rId239" Type="http://schemas.openxmlformats.org/officeDocument/2006/relationships/image" Target="media/image125.wmf"/><Relationship Id="rId240" Type="http://schemas.openxmlformats.org/officeDocument/2006/relationships/hyperlink" Target="https://login.consultant.ru/link/?req=doc&amp;base=LAW&amp;n=172763&amp;dst=100034" TargetMode = "External"/><Relationship Id="rId241" Type="http://schemas.openxmlformats.org/officeDocument/2006/relationships/image" Target="media/image126.wmf"/><Relationship Id="rId242" Type="http://schemas.openxmlformats.org/officeDocument/2006/relationships/image" Target="media/image127.wmf"/><Relationship Id="rId243" Type="http://schemas.openxmlformats.org/officeDocument/2006/relationships/image" Target="media/image128.wmf"/><Relationship Id="rId244" Type="http://schemas.openxmlformats.org/officeDocument/2006/relationships/image" Target="media/image129.wmf"/><Relationship Id="rId245" Type="http://schemas.openxmlformats.org/officeDocument/2006/relationships/image" Target="media/image130.wmf"/><Relationship Id="rId246" Type="http://schemas.openxmlformats.org/officeDocument/2006/relationships/image" Target="media/image131.wmf"/><Relationship Id="rId247" Type="http://schemas.openxmlformats.org/officeDocument/2006/relationships/image" Target="media/image132.wmf"/><Relationship Id="rId248" Type="http://schemas.openxmlformats.org/officeDocument/2006/relationships/image" Target="media/image133.wmf"/><Relationship Id="rId249" Type="http://schemas.openxmlformats.org/officeDocument/2006/relationships/image" Target="media/image134.wmf"/><Relationship Id="rId250" Type="http://schemas.openxmlformats.org/officeDocument/2006/relationships/image" Target="media/image135.wmf"/><Relationship Id="rId251" Type="http://schemas.openxmlformats.org/officeDocument/2006/relationships/image" Target="media/image136.wmf"/><Relationship Id="rId252" Type="http://schemas.openxmlformats.org/officeDocument/2006/relationships/image" Target="media/image137.wmf"/><Relationship Id="rId253" Type="http://schemas.openxmlformats.org/officeDocument/2006/relationships/image" Target="media/image138.wmf"/><Relationship Id="rId254" Type="http://schemas.openxmlformats.org/officeDocument/2006/relationships/image" Target="media/image139.wmf"/><Relationship Id="rId255" Type="http://schemas.openxmlformats.org/officeDocument/2006/relationships/image" Target="media/image140.wmf"/><Relationship Id="rId256" Type="http://schemas.openxmlformats.org/officeDocument/2006/relationships/hyperlink" Target="https://login.consultant.ru/link/?req=doc&amp;base=LAW&amp;n=494038&amp;dst=100008" TargetMode = "External"/><Relationship Id="rId257" Type="http://schemas.openxmlformats.org/officeDocument/2006/relationships/image" Target="media/image141.wmf"/><Relationship Id="rId258" Type="http://schemas.openxmlformats.org/officeDocument/2006/relationships/image" Target="media/image142.wmf"/><Relationship Id="rId259" Type="http://schemas.openxmlformats.org/officeDocument/2006/relationships/hyperlink" Target="https://login.consultant.ru/link/?req=doc&amp;base=LAW&amp;n=213194&amp;dst=100010" TargetMode = "External"/><Relationship Id="rId260" Type="http://schemas.openxmlformats.org/officeDocument/2006/relationships/image" Target="media/image143.wmf"/><Relationship Id="rId261" Type="http://schemas.openxmlformats.org/officeDocument/2006/relationships/image" Target="media/image144.wmf"/><Relationship Id="rId262" Type="http://schemas.openxmlformats.org/officeDocument/2006/relationships/image" Target="media/image145.wmf"/><Relationship Id="rId263" Type="http://schemas.openxmlformats.org/officeDocument/2006/relationships/image" Target="media/image146.wmf"/><Relationship Id="rId264" Type="http://schemas.openxmlformats.org/officeDocument/2006/relationships/image" Target="media/image147.wmf"/><Relationship Id="rId265" Type="http://schemas.openxmlformats.org/officeDocument/2006/relationships/image" Target="media/image148.wmf"/><Relationship Id="rId266" Type="http://schemas.openxmlformats.org/officeDocument/2006/relationships/image" Target="media/image149.wmf"/><Relationship Id="rId267" Type="http://schemas.openxmlformats.org/officeDocument/2006/relationships/hyperlink" Target="https://login.consultant.ru/link/?req=doc&amp;base=LAW&amp;n=172763&amp;dst=100039" TargetMode = "External"/><Relationship Id="rId268" Type="http://schemas.openxmlformats.org/officeDocument/2006/relationships/hyperlink" Target="https://login.consultant.ru/link/?req=doc&amp;base=LAW&amp;n=172763&amp;dst=100041" TargetMode = "External"/><Relationship Id="rId269" Type="http://schemas.openxmlformats.org/officeDocument/2006/relationships/hyperlink" Target="https://login.consultant.ru/link/?req=doc&amp;base=LAW&amp;n=338501&amp;dst=100024" TargetMode = "External"/><Relationship Id="rId270" Type="http://schemas.openxmlformats.org/officeDocument/2006/relationships/image" Target="media/image150.wmf"/><Relationship Id="rId271" Type="http://schemas.openxmlformats.org/officeDocument/2006/relationships/hyperlink" Target="https://login.consultant.ru/link/?req=doc&amp;base=LAW&amp;n=172763&amp;dst=100043" TargetMode = "External"/><Relationship Id="rId272" Type="http://schemas.openxmlformats.org/officeDocument/2006/relationships/image" Target="media/image151.wmf"/><Relationship Id="rId273" Type="http://schemas.openxmlformats.org/officeDocument/2006/relationships/image" Target="media/image152.wmf"/><Relationship Id="rId274" Type="http://schemas.openxmlformats.org/officeDocument/2006/relationships/image" Target="media/image153.wmf"/><Relationship Id="rId275" Type="http://schemas.openxmlformats.org/officeDocument/2006/relationships/image" Target="media/image154.wmf"/><Relationship Id="rId276" Type="http://schemas.openxmlformats.org/officeDocument/2006/relationships/image" Target="media/image155.wmf"/><Relationship Id="rId277" Type="http://schemas.openxmlformats.org/officeDocument/2006/relationships/image" Target="media/image156.wmf"/><Relationship Id="rId278" Type="http://schemas.openxmlformats.org/officeDocument/2006/relationships/hyperlink" Target="https://login.consultant.ru/link/?req=doc&amp;base=LAW&amp;n=172763&amp;dst=100045" TargetMode = "External"/><Relationship Id="rId279" Type="http://schemas.openxmlformats.org/officeDocument/2006/relationships/image" Target="media/image157.wmf"/><Relationship Id="rId280" Type="http://schemas.openxmlformats.org/officeDocument/2006/relationships/image" Target="media/image158.wmf"/><Relationship Id="rId281" Type="http://schemas.openxmlformats.org/officeDocument/2006/relationships/image" Target="media/image159.wmf"/><Relationship Id="rId282" Type="http://schemas.openxmlformats.org/officeDocument/2006/relationships/image" Target="media/image160.wmf"/><Relationship Id="rId283" Type="http://schemas.openxmlformats.org/officeDocument/2006/relationships/image" Target="media/image161.wmf"/><Relationship Id="rId284" Type="http://schemas.openxmlformats.org/officeDocument/2006/relationships/image" Target="media/image162.wmf"/><Relationship Id="rId285" Type="http://schemas.openxmlformats.org/officeDocument/2006/relationships/image" Target="media/image163.wmf"/><Relationship Id="rId286" Type="http://schemas.openxmlformats.org/officeDocument/2006/relationships/hyperlink" Target="https://login.consultant.ru/link/?req=doc&amp;base=LAW&amp;n=506307&amp;dst=100094" TargetMode = "External"/><Relationship Id="rId287" Type="http://schemas.openxmlformats.org/officeDocument/2006/relationships/hyperlink" Target="https://login.consultant.ru/link/?req=doc&amp;base=LAW&amp;n=483130" TargetMode = "External"/><Relationship Id="rId288" Type="http://schemas.openxmlformats.org/officeDocument/2006/relationships/hyperlink" Target="https://login.consultant.ru/link/?req=doc&amp;base=LAW&amp;n=338501&amp;dst=100025" TargetMode = "External"/><Relationship Id="rId289" Type="http://schemas.openxmlformats.org/officeDocument/2006/relationships/hyperlink" Target="https://login.consultant.ru/link/?req=doc&amp;base=LAW&amp;n=506307&amp;dst=42" TargetMode = "External"/><Relationship Id="rId290" Type="http://schemas.openxmlformats.org/officeDocument/2006/relationships/hyperlink" Target="https://login.consultant.ru/link/?req=doc&amp;base=LAW&amp;n=278503&amp;dst=100015" TargetMode = "External"/><Relationship Id="rId291" Type="http://schemas.openxmlformats.org/officeDocument/2006/relationships/hyperlink" Target="https://login.consultant.ru/link/?req=doc&amp;base=LAW&amp;n=278503&amp;dst=100016" TargetMode = "External"/><Relationship Id="rId292" Type="http://schemas.openxmlformats.org/officeDocument/2006/relationships/image" Target="media/image164.wmf"/><Relationship Id="rId293" Type="http://schemas.openxmlformats.org/officeDocument/2006/relationships/image" Target="media/image165.wmf"/><Relationship Id="rId294" Type="http://schemas.openxmlformats.org/officeDocument/2006/relationships/image" Target="media/image166.wmf"/><Relationship Id="rId295" Type="http://schemas.openxmlformats.org/officeDocument/2006/relationships/hyperlink" Target="https://login.consultant.ru/link/?req=doc&amp;base=LAW&amp;n=172763&amp;dst=100051" TargetMode = "External"/><Relationship Id="rId296" Type="http://schemas.openxmlformats.org/officeDocument/2006/relationships/hyperlink" Target="https://login.consultant.ru/link/?req=doc&amp;base=LAW&amp;n=506307&amp;dst=100254" TargetMode = "External"/><Relationship Id="rId297" Type="http://schemas.openxmlformats.org/officeDocument/2006/relationships/image" Target="media/image167.wmf"/><Relationship Id="rId298" Type="http://schemas.openxmlformats.org/officeDocument/2006/relationships/hyperlink" Target="https://login.consultant.ru/link/?req=doc&amp;base=LAW&amp;n=485185&amp;dst=100016" TargetMode = "External"/><Relationship Id="rId299" Type="http://schemas.openxmlformats.org/officeDocument/2006/relationships/image" Target="media/image168.wmf"/><Relationship Id="rId300" Type="http://schemas.openxmlformats.org/officeDocument/2006/relationships/hyperlink" Target="https://login.consultant.ru/link/?req=doc&amp;base=LAW&amp;n=485185&amp;dst=100018" TargetMode = "External"/><Relationship Id="rId301" Type="http://schemas.openxmlformats.org/officeDocument/2006/relationships/image" Target="media/image169.wmf"/><Relationship Id="rId302" Type="http://schemas.openxmlformats.org/officeDocument/2006/relationships/image" Target="media/image170.wmf"/><Relationship Id="rId303" Type="http://schemas.openxmlformats.org/officeDocument/2006/relationships/image" Target="media/image171.wmf"/><Relationship Id="rId304" Type="http://schemas.openxmlformats.org/officeDocument/2006/relationships/image" Target="media/image172.wmf"/><Relationship Id="rId305" Type="http://schemas.openxmlformats.org/officeDocument/2006/relationships/image" Target="media/image173.wmf"/><Relationship Id="rId306" Type="http://schemas.openxmlformats.org/officeDocument/2006/relationships/image" Target="media/image174.wmf"/><Relationship Id="rId307" Type="http://schemas.openxmlformats.org/officeDocument/2006/relationships/image" Target="media/image175.wmf"/><Relationship Id="rId308" Type="http://schemas.openxmlformats.org/officeDocument/2006/relationships/image" Target="media/image176.wmf"/><Relationship Id="rId309" Type="http://schemas.openxmlformats.org/officeDocument/2006/relationships/image" Target="media/image177.wmf"/><Relationship Id="rId310" Type="http://schemas.openxmlformats.org/officeDocument/2006/relationships/image" Target="media/image178.wmf"/><Relationship Id="rId311" Type="http://schemas.openxmlformats.org/officeDocument/2006/relationships/hyperlink" Target="https://login.consultant.ru/link/?req=doc&amp;base=LAW&amp;n=506307&amp;dst=286" TargetMode = "External"/><Relationship Id="rId312" Type="http://schemas.openxmlformats.org/officeDocument/2006/relationships/hyperlink" Target="https://login.consultant.ru/link/?req=doc&amp;base=LAW&amp;n=506307&amp;dst=288" TargetMode = "External"/><Relationship Id="rId313" Type="http://schemas.openxmlformats.org/officeDocument/2006/relationships/hyperlink" Target="https://login.consultant.ru/link/?req=doc&amp;base=LAW&amp;n=455707&amp;dst=100025" TargetMode = "External"/><Relationship Id="rId314" Type="http://schemas.openxmlformats.org/officeDocument/2006/relationships/image" Target="media/image179.wmf"/><Relationship Id="rId315" Type="http://schemas.openxmlformats.org/officeDocument/2006/relationships/image" Target="media/image180.wmf"/><Relationship Id="rId316" Type="http://schemas.openxmlformats.org/officeDocument/2006/relationships/image" Target="media/image181.wmf"/><Relationship Id="rId317" Type="http://schemas.openxmlformats.org/officeDocument/2006/relationships/hyperlink" Target="https://login.consultant.ru/link/?req=doc&amp;base=LAW&amp;n=506307&amp;dst=205" TargetMode = "External"/><Relationship Id="rId318" Type="http://schemas.openxmlformats.org/officeDocument/2006/relationships/hyperlink" Target="https://login.consultant.ru/link/?req=doc&amp;base=LAW&amp;n=485185&amp;dst=100020" TargetMode = "External"/><Relationship Id="rId319" Type="http://schemas.openxmlformats.org/officeDocument/2006/relationships/hyperlink" Target="https://login.consultant.ru/link/?req=doc&amp;base=LAW&amp;n=338501&amp;dst=100038" TargetMode = "External"/><Relationship Id="rId320" Type="http://schemas.openxmlformats.org/officeDocument/2006/relationships/image" Target="media/image182.wmf"/><Relationship Id="rId321" Type="http://schemas.openxmlformats.org/officeDocument/2006/relationships/image" Target="media/image183.wmf"/><Relationship Id="rId322" Type="http://schemas.openxmlformats.org/officeDocument/2006/relationships/image" Target="media/image184.wmf"/><Relationship Id="rId323" Type="http://schemas.openxmlformats.org/officeDocument/2006/relationships/image" Target="media/image185.wmf"/><Relationship Id="rId324" Type="http://schemas.openxmlformats.org/officeDocument/2006/relationships/image" Target="media/image186.wmf"/><Relationship Id="rId325" Type="http://schemas.openxmlformats.org/officeDocument/2006/relationships/image" Target="media/image187.wmf"/><Relationship Id="rId326" Type="http://schemas.openxmlformats.org/officeDocument/2006/relationships/image" Target="media/image188.wmf"/><Relationship Id="rId327" Type="http://schemas.openxmlformats.org/officeDocument/2006/relationships/image" Target="media/image189.wmf"/><Relationship Id="rId328" Type="http://schemas.openxmlformats.org/officeDocument/2006/relationships/image" Target="media/image190.wmf"/><Relationship Id="rId329" Type="http://schemas.openxmlformats.org/officeDocument/2006/relationships/hyperlink" Target="https://login.consultant.ru/link/?req=doc&amp;base=LAW&amp;n=338501&amp;dst=100057" TargetMode = "External"/><Relationship Id="rId330" Type="http://schemas.openxmlformats.org/officeDocument/2006/relationships/hyperlink" Target="https://login.consultant.ru/link/?req=doc&amp;base=LAW&amp;n=338501&amp;dst=100076" TargetMode = "External"/><Relationship Id="rId331" Type="http://schemas.openxmlformats.org/officeDocument/2006/relationships/image" Target="media/image191.wmf"/><Relationship Id="rId332" Type="http://schemas.openxmlformats.org/officeDocument/2006/relationships/image" Target="media/image192.wmf"/><Relationship Id="rId333" Type="http://schemas.openxmlformats.org/officeDocument/2006/relationships/image" Target="media/image193.wmf"/><Relationship Id="rId334" Type="http://schemas.openxmlformats.org/officeDocument/2006/relationships/image" Target="media/image194.wmf"/><Relationship Id="rId335" Type="http://schemas.openxmlformats.org/officeDocument/2006/relationships/hyperlink" Target="https://login.consultant.ru/link/?req=doc&amp;base=LAW&amp;n=338501&amp;dst=100082" TargetMode = "External"/><Relationship Id="rId336" Type="http://schemas.openxmlformats.org/officeDocument/2006/relationships/image" Target="media/image195.wmf"/><Relationship Id="rId337" Type="http://schemas.openxmlformats.org/officeDocument/2006/relationships/hyperlink" Target="https://login.consultant.ru/link/?req=doc&amp;base=LAW&amp;n=338501&amp;dst=100089" TargetMode = "External"/><Relationship Id="rId338" Type="http://schemas.openxmlformats.org/officeDocument/2006/relationships/image" Target="media/image196.wmf"/><Relationship Id="rId339" Type="http://schemas.openxmlformats.org/officeDocument/2006/relationships/hyperlink" Target="https://login.consultant.ru/link/?req=doc&amp;base=LAW&amp;n=432985&amp;dst=100041" TargetMode = "External"/><Relationship Id="rId340" Type="http://schemas.openxmlformats.org/officeDocument/2006/relationships/image" Target="media/image197.wmf"/><Relationship Id="rId341" Type="http://schemas.openxmlformats.org/officeDocument/2006/relationships/image" Target="media/image198.wmf"/><Relationship Id="rId342" Type="http://schemas.openxmlformats.org/officeDocument/2006/relationships/image" Target="media/image199.wmf"/><Relationship Id="rId343" Type="http://schemas.openxmlformats.org/officeDocument/2006/relationships/image" Target="media/image200.wmf"/><Relationship Id="rId344" Type="http://schemas.openxmlformats.org/officeDocument/2006/relationships/image" Target="media/image201.wmf"/><Relationship Id="rId345" Type="http://schemas.openxmlformats.org/officeDocument/2006/relationships/hyperlink" Target="https://login.consultant.ru/link/?req=doc&amp;base=LAW&amp;n=172763&amp;dst=100062" TargetMode = "External"/><Relationship Id="rId346" Type="http://schemas.openxmlformats.org/officeDocument/2006/relationships/image" Target="media/image202.wmf"/><Relationship Id="rId347" Type="http://schemas.openxmlformats.org/officeDocument/2006/relationships/hyperlink" Target="https://login.consultant.ru/link/?req=doc&amp;base=LAW&amp;n=506307&amp;dst=114" TargetMode = "External"/><Relationship Id="rId348" Type="http://schemas.openxmlformats.org/officeDocument/2006/relationships/hyperlink" Target="https://login.consultant.ru/link/?req=doc&amp;base=LAW&amp;n=506307&amp;dst=100128" TargetMode = "External"/><Relationship Id="rId349" Type="http://schemas.openxmlformats.org/officeDocument/2006/relationships/image" Target="media/image203.wmf"/><Relationship Id="rId350" Type="http://schemas.openxmlformats.org/officeDocument/2006/relationships/image" Target="media/image204.wmf"/><Relationship Id="rId351" Type="http://schemas.openxmlformats.org/officeDocument/2006/relationships/image" Target="media/image205.wmf"/><Relationship Id="rId352" Type="http://schemas.openxmlformats.org/officeDocument/2006/relationships/image" Target="media/image206.wmf"/><Relationship Id="rId353" Type="http://schemas.openxmlformats.org/officeDocument/2006/relationships/image" Target="media/image207.wmf"/><Relationship Id="rId354" Type="http://schemas.openxmlformats.org/officeDocument/2006/relationships/image" Target="media/image208.wmf"/><Relationship Id="rId355" Type="http://schemas.openxmlformats.org/officeDocument/2006/relationships/image" Target="media/image209.wmf"/><Relationship Id="rId356" Type="http://schemas.openxmlformats.org/officeDocument/2006/relationships/hyperlink" Target="https://login.consultant.ru/link/?req=doc&amp;base=LAW&amp;n=506307&amp;dst=28" TargetMode = "External"/><Relationship Id="rId357" Type="http://schemas.openxmlformats.org/officeDocument/2006/relationships/hyperlink" Target="https://login.consultant.ru/link/?req=doc&amp;base=LAW&amp;n=506307&amp;dst=26" TargetMode = "External"/><Relationship Id="rId358" Type="http://schemas.openxmlformats.org/officeDocument/2006/relationships/hyperlink" Target="https://login.consultant.ru/link/?req=doc&amp;base=LAW&amp;n=506307&amp;dst=27" TargetMode = "External"/><Relationship Id="rId359" Type="http://schemas.openxmlformats.org/officeDocument/2006/relationships/hyperlink" Target="https://login.consultant.ru/link/?req=doc&amp;base=LAW&amp;n=455707&amp;dst=100027" TargetMode = "External"/><Relationship Id="rId360" Type="http://schemas.openxmlformats.org/officeDocument/2006/relationships/image" Target="media/image210.wmf"/><Relationship Id="rId361" Type="http://schemas.openxmlformats.org/officeDocument/2006/relationships/image" Target="media/image211.wmf"/><Relationship Id="rId362" Type="http://schemas.openxmlformats.org/officeDocument/2006/relationships/image" Target="media/image212.wmf"/><Relationship Id="rId363" Type="http://schemas.openxmlformats.org/officeDocument/2006/relationships/image" Target="media/image213.wmf"/><Relationship Id="rId364" Type="http://schemas.openxmlformats.org/officeDocument/2006/relationships/image" Target="media/image214.wmf"/><Relationship Id="rId365" Type="http://schemas.openxmlformats.org/officeDocument/2006/relationships/image" Target="media/image215.wmf"/><Relationship Id="rId366" Type="http://schemas.openxmlformats.org/officeDocument/2006/relationships/image" Target="media/image216.wmf"/><Relationship Id="rId367" Type="http://schemas.openxmlformats.org/officeDocument/2006/relationships/image" Target="media/image217.wmf"/><Relationship Id="rId368" Type="http://schemas.openxmlformats.org/officeDocument/2006/relationships/image" Target="media/image218.wmf"/><Relationship Id="rId369" Type="http://schemas.openxmlformats.org/officeDocument/2006/relationships/image" Target="media/image219.wmf"/><Relationship Id="rId370" Type="http://schemas.openxmlformats.org/officeDocument/2006/relationships/image" Target="media/image220.wmf"/><Relationship Id="rId371" Type="http://schemas.openxmlformats.org/officeDocument/2006/relationships/image" Target="media/image221.wmf"/><Relationship Id="rId372" Type="http://schemas.openxmlformats.org/officeDocument/2006/relationships/image" Target="media/image222.wmf"/><Relationship Id="rId373" Type="http://schemas.openxmlformats.org/officeDocument/2006/relationships/image" Target="media/image223.wmf"/><Relationship Id="rId374" Type="http://schemas.openxmlformats.org/officeDocument/2006/relationships/image" Target="media/image224.wmf"/><Relationship Id="rId375" Type="http://schemas.openxmlformats.org/officeDocument/2006/relationships/image" Target="media/image225.wmf"/><Relationship Id="rId376" Type="http://schemas.openxmlformats.org/officeDocument/2006/relationships/image" Target="media/image226.wmf"/><Relationship Id="rId377" Type="http://schemas.openxmlformats.org/officeDocument/2006/relationships/image" Target="media/image227.wmf"/><Relationship Id="rId378" Type="http://schemas.openxmlformats.org/officeDocument/2006/relationships/image" Target="media/image228.wmf"/><Relationship Id="rId379" Type="http://schemas.openxmlformats.org/officeDocument/2006/relationships/image" Target="media/image229.wmf"/><Relationship Id="rId380" Type="http://schemas.openxmlformats.org/officeDocument/2006/relationships/image" Target="media/image230.wmf"/><Relationship Id="rId381" Type="http://schemas.openxmlformats.org/officeDocument/2006/relationships/image" Target="media/image231.wmf"/><Relationship Id="rId382" Type="http://schemas.openxmlformats.org/officeDocument/2006/relationships/image" Target="media/image232.wmf"/><Relationship Id="rId383" Type="http://schemas.openxmlformats.org/officeDocument/2006/relationships/image" Target="media/image233.wmf"/><Relationship Id="rId384" Type="http://schemas.openxmlformats.org/officeDocument/2006/relationships/image" Target="media/image234.wmf"/><Relationship Id="rId385" Type="http://schemas.openxmlformats.org/officeDocument/2006/relationships/image" Target="media/image235.wmf"/><Relationship Id="rId386" Type="http://schemas.openxmlformats.org/officeDocument/2006/relationships/image" Target="media/image236.wmf"/><Relationship Id="rId387" Type="http://schemas.openxmlformats.org/officeDocument/2006/relationships/image" Target="media/image237.wmf"/><Relationship Id="rId388" Type="http://schemas.openxmlformats.org/officeDocument/2006/relationships/image" Target="media/image238.wmf"/><Relationship Id="rId389" Type="http://schemas.openxmlformats.org/officeDocument/2006/relationships/image" Target="media/image239.wmf"/><Relationship Id="rId390" Type="http://schemas.openxmlformats.org/officeDocument/2006/relationships/image" Target="media/image240.wmf"/><Relationship Id="rId391" Type="http://schemas.openxmlformats.org/officeDocument/2006/relationships/image" Target="media/image241.wmf"/><Relationship Id="rId392" Type="http://schemas.openxmlformats.org/officeDocument/2006/relationships/image" Target="media/image242.wmf"/><Relationship Id="rId393" Type="http://schemas.openxmlformats.org/officeDocument/2006/relationships/image" Target="media/image243.wmf"/><Relationship Id="rId394" Type="http://schemas.openxmlformats.org/officeDocument/2006/relationships/image" Target="media/image244.wmf"/><Relationship Id="rId395" Type="http://schemas.openxmlformats.org/officeDocument/2006/relationships/image" Target="media/image245.wmf"/><Relationship Id="rId396" Type="http://schemas.openxmlformats.org/officeDocument/2006/relationships/image" Target="media/image246.wmf"/><Relationship Id="rId397" Type="http://schemas.openxmlformats.org/officeDocument/2006/relationships/image" Target="media/image247.wmf"/><Relationship Id="rId398" Type="http://schemas.openxmlformats.org/officeDocument/2006/relationships/hyperlink" Target="https://login.consultant.ru/link/?req=doc&amp;base=LAW&amp;n=481921&amp;dst=100051" TargetMode = "External"/><Relationship Id="rId399" Type="http://schemas.openxmlformats.org/officeDocument/2006/relationships/image" Target="media/image248.wmf"/><Relationship Id="rId400" Type="http://schemas.openxmlformats.org/officeDocument/2006/relationships/hyperlink" Target="https://login.consultant.ru/link/?req=doc&amp;base=LAW&amp;n=481921&amp;dst=100052" TargetMode = "External"/><Relationship Id="rId401" Type="http://schemas.openxmlformats.org/officeDocument/2006/relationships/hyperlink" Target="https://login.consultant.ru/link/?req=doc&amp;base=LAW&amp;n=369328&amp;dst=100054" TargetMode = "External"/><Relationship Id="rId402" Type="http://schemas.openxmlformats.org/officeDocument/2006/relationships/hyperlink" Target="https://login.consultant.ru/link/?req=doc&amp;base=LAW&amp;n=338501&amp;dst=100090" TargetMode = "External"/><Relationship Id="rId403" Type="http://schemas.openxmlformats.org/officeDocument/2006/relationships/image" Target="media/image249.wmf"/><Relationship Id="rId404" Type="http://schemas.openxmlformats.org/officeDocument/2006/relationships/image" Target="media/image250.wmf"/><Relationship Id="rId405" Type="http://schemas.openxmlformats.org/officeDocument/2006/relationships/image" Target="media/image251.wmf"/><Relationship Id="rId406" Type="http://schemas.openxmlformats.org/officeDocument/2006/relationships/image" Target="media/image252.wmf"/><Relationship Id="rId407" Type="http://schemas.openxmlformats.org/officeDocument/2006/relationships/image" Target="media/image253.wmf"/><Relationship Id="rId408" Type="http://schemas.openxmlformats.org/officeDocument/2006/relationships/image" Target="media/image254.wmf"/><Relationship Id="rId409" Type="http://schemas.openxmlformats.org/officeDocument/2006/relationships/image" Target="media/image255.wmf"/><Relationship Id="rId410" Type="http://schemas.openxmlformats.org/officeDocument/2006/relationships/image" Target="media/image256.wmf"/><Relationship Id="rId411" Type="http://schemas.openxmlformats.org/officeDocument/2006/relationships/image" Target="media/image257.wmf"/><Relationship Id="rId412" Type="http://schemas.openxmlformats.org/officeDocument/2006/relationships/image" Target="media/image258.wmf"/><Relationship Id="rId413" Type="http://schemas.openxmlformats.org/officeDocument/2006/relationships/image" Target="media/image259.wmf"/><Relationship Id="rId414" Type="http://schemas.openxmlformats.org/officeDocument/2006/relationships/image" Target="media/image260.wmf"/><Relationship Id="rId415" Type="http://schemas.openxmlformats.org/officeDocument/2006/relationships/image" Target="media/image261.wmf"/><Relationship Id="rId416" Type="http://schemas.openxmlformats.org/officeDocument/2006/relationships/image" Target="media/image262.wmf"/><Relationship Id="rId417" Type="http://schemas.openxmlformats.org/officeDocument/2006/relationships/image" Target="media/image263.wmf"/><Relationship Id="rId418" Type="http://schemas.openxmlformats.org/officeDocument/2006/relationships/image" Target="media/image264.wmf"/><Relationship Id="rId419" Type="http://schemas.openxmlformats.org/officeDocument/2006/relationships/image" Target="media/image265.wmf"/><Relationship Id="rId420" Type="http://schemas.openxmlformats.org/officeDocument/2006/relationships/image" Target="media/image266.wmf"/><Relationship Id="rId421" Type="http://schemas.openxmlformats.org/officeDocument/2006/relationships/image" Target="media/image267.wmf"/><Relationship Id="rId422" Type="http://schemas.openxmlformats.org/officeDocument/2006/relationships/image" Target="media/image268.wmf"/><Relationship Id="rId423" Type="http://schemas.openxmlformats.org/officeDocument/2006/relationships/image" Target="media/image269.wmf"/><Relationship Id="rId424" Type="http://schemas.openxmlformats.org/officeDocument/2006/relationships/image" Target="media/image270.wmf"/><Relationship Id="rId425" Type="http://schemas.openxmlformats.org/officeDocument/2006/relationships/image" Target="media/image271.wmf"/><Relationship Id="rId426" Type="http://schemas.openxmlformats.org/officeDocument/2006/relationships/image" Target="media/image272.wmf"/><Relationship Id="rId427" Type="http://schemas.openxmlformats.org/officeDocument/2006/relationships/image" Target="media/image273.wmf"/><Relationship Id="rId428" Type="http://schemas.openxmlformats.org/officeDocument/2006/relationships/image" Target="media/image274.wmf"/><Relationship Id="rId429" Type="http://schemas.openxmlformats.org/officeDocument/2006/relationships/hyperlink" Target="https://login.consultant.ru/link/?req=doc&amp;base=LAW&amp;n=369328&amp;dst=100056" TargetMode = "External"/><Relationship Id="rId430" Type="http://schemas.openxmlformats.org/officeDocument/2006/relationships/hyperlink" Target="https://login.consultant.ru/link/?req=doc&amp;base=LAW&amp;n=338501&amp;dst=100145" TargetMode = "External"/><Relationship Id="rId431" Type="http://schemas.openxmlformats.org/officeDocument/2006/relationships/image" Target="media/image275.wmf"/><Relationship Id="rId432" Type="http://schemas.openxmlformats.org/officeDocument/2006/relationships/image" Target="media/image276.wmf"/><Relationship Id="rId433" Type="http://schemas.openxmlformats.org/officeDocument/2006/relationships/image" Target="media/image277.wmf"/><Relationship Id="rId434" Type="http://schemas.openxmlformats.org/officeDocument/2006/relationships/image" Target="media/image278.wmf"/><Relationship Id="rId435" Type="http://schemas.openxmlformats.org/officeDocument/2006/relationships/image" Target="media/image279.wmf"/><Relationship Id="rId436" Type="http://schemas.openxmlformats.org/officeDocument/2006/relationships/image" Target="media/image280.wmf"/><Relationship Id="rId437" Type="http://schemas.openxmlformats.org/officeDocument/2006/relationships/image" Target="media/image281.wmf"/><Relationship Id="rId438" Type="http://schemas.openxmlformats.org/officeDocument/2006/relationships/image" Target="media/image282.wmf"/><Relationship Id="rId439" Type="http://schemas.openxmlformats.org/officeDocument/2006/relationships/image" Target="media/image283.wmf"/><Relationship Id="rId440" Type="http://schemas.openxmlformats.org/officeDocument/2006/relationships/image" Target="media/image284.wmf"/><Relationship Id="rId441" Type="http://schemas.openxmlformats.org/officeDocument/2006/relationships/image" Target="media/image285.wmf"/><Relationship Id="rId442" Type="http://schemas.openxmlformats.org/officeDocument/2006/relationships/image" Target="media/image286.wmf"/><Relationship Id="rId443" Type="http://schemas.openxmlformats.org/officeDocument/2006/relationships/hyperlink" Target="https://login.consultant.ru/link/?req=doc&amp;base=LAW&amp;n=369328&amp;dst=100058" TargetMode = "External"/><Relationship Id="rId444" Type="http://schemas.openxmlformats.org/officeDocument/2006/relationships/image" Target="media/image287.wmf"/><Relationship Id="rId445" Type="http://schemas.openxmlformats.org/officeDocument/2006/relationships/image" Target="media/image288.wmf"/><Relationship Id="rId446" Type="http://schemas.openxmlformats.org/officeDocument/2006/relationships/image" Target="media/image289.wmf"/><Relationship Id="rId447" Type="http://schemas.openxmlformats.org/officeDocument/2006/relationships/hyperlink" Target="https://login.consultant.ru/link/?req=doc&amp;base=LAW&amp;n=483239&amp;dst=150" TargetMode = "External"/><Relationship Id="rId448" Type="http://schemas.openxmlformats.org/officeDocument/2006/relationships/hyperlink" Target="https://login.consultant.ru/link/?req=doc&amp;base=LAW&amp;n=483239&amp;dst=100600" TargetMode = "External"/><Relationship Id="rId449" Type="http://schemas.openxmlformats.org/officeDocument/2006/relationships/hyperlink" Target="https://login.consultant.ru/link/?req=doc&amp;base=LAW&amp;n=483239&amp;dst=100603" TargetMode = "External"/><Relationship Id="rId450" Type="http://schemas.openxmlformats.org/officeDocument/2006/relationships/hyperlink" Target="https://login.consultant.ru/link/?req=doc&amp;base=LAW&amp;n=483239&amp;dst=100605" TargetMode = "External"/><Relationship Id="rId451" Type="http://schemas.openxmlformats.org/officeDocument/2006/relationships/hyperlink" Target="https://login.consultant.ru/link/?req=doc&amp;base=LAW&amp;n=338501&amp;dst=100147" TargetMode = "External"/><Relationship Id="rId452" Type="http://schemas.openxmlformats.org/officeDocument/2006/relationships/hyperlink" Target="https://login.consultant.ru/link/?req=doc&amp;base=LAW&amp;n=506307&amp;dst=100296" TargetMode = "External"/><Relationship Id="rId453" Type="http://schemas.openxmlformats.org/officeDocument/2006/relationships/hyperlink" Target="https://login.consultant.ru/link/?req=doc&amp;base=LAW&amp;n=506307&amp;dst=100297" TargetMode = "External"/><Relationship Id="rId454" Type="http://schemas.openxmlformats.org/officeDocument/2006/relationships/hyperlink" Target="https://login.consultant.ru/link/?req=doc&amp;base=LAW&amp;n=506307&amp;dst=100298" TargetMode = "External"/><Relationship Id="rId455" Type="http://schemas.openxmlformats.org/officeDocument/2006/relationships/image" Target="media/image290.wmf"/><Relationship Id="rId456" Type="http://schemas.openxmlformats.org/officeDocument/2006/relationships/image" Target="media/image291.wmf"/><Relationship Id="rId457" Type="http://schemas.openxmlformats.org/officeDocument/2006/relationships/hyperlink" Target="https://login.consultant.ru/link/?req=doc&amp;base=LAW&amp;n=461309&amp;dst=100590" TargetMode = "External"/><Relationship Id="rId458" Type="http://schemas.openxmlformats.org/officeDocument/2006/relationships/hyperlink" Target="https://login.consultant.ru/link/?req=doc&amp;base=LAW&amp;n=369328&amp;dst=100083" TargetMode = "External"/><Relationship Id="rId459" Type="http://schemas.openxmlformats.org/officeDocument/2006/relationships/image" Target="media/image292.wmf"/><Relationship Id="rId460" Type="http://schemas.openxmlformats.org/officeDocument/2006/relationships/image" Target="media/image293.wmf"/><Relationship Id="rId461" Type="http://schemas.openxmlformats.org/officeDocument/2006/relationships/hyperlink" Target="https://login.consultant.ru/link/?req=doc&amp;base=LAW&amp;n=172763&amp;dst=100073" TargetMode = "External"/><Relationship Id="rId462" Type="http://schemas.openxmlformats.org/officeDocument/2006/relationships/image" Target="media/image294.wmf"/><Relationship Id="rId463" Type="http://schemas.openxmlformats.org/officeDocument/2006/relationships/hyperlink" Target="https://login.consultant.ru/link/?req=doc&amp;base=LAW&amp;n=172763&amp;dst=100074" TargetMode = "External"/><Relationship Id="rId464" Type="http://schemas.openxmlformats.org/officeDocument/2006/relationships/hyperlink" Target="https://login.consultant.ru/link/?req=doc&amp;base=LAW&amp;n=172763&amp;dst=100075" TargetMode = "External"/><Relationship Id="rId465" Type="http://schemas.openxmlformats.org/officeDocument/2006/relationships/image" Target="media/image295.wmf"/><Relationship Id="rId466" Type="http://schemas.openxmlformats.org/officeDocument/2006/relationships/image" Target="media/image296.wmf"/><Relationship Id="rId467" Type="http://schemas.openxmlformats.org/officeDocument/2006/relationships/image" Target="media/image297.wmf"/><Relationship Id="rId468" Type="http://schemas.openxmlformats.org/officeDocument/2006/relationships/hyperlink" Target="https://login.consultant.ru/link/?req=doc&amp;base=LAW&amp;n=172763&amp;dst=100076" TargetMode = "External"/><Relationship Id="rId469" Type="http://schemas.openxmlformats.org/officeDocument/2006/relationships/image" Target="media/image298.wmf"/><Relationship Id="rId470" Type="http://schemas.openxmlformats.org/officeDocument/2006/relationships/image" Target="media/image299.wmf"/><Relationship Id="rId471" Type="http://schemas.openxmlformats.org/officeDocument/2006/relationships/image" Target="media/image300.wmf"/><Relationship Id="rId472" Type="http://schemas.openxmlformats.org/officeDocument/2006/relationships/image" Target="media/image301.wmf"/><Relationship Id="rId473" Type="http://schemas.openxmlformats.org/officeDocument/2006/relationships/image" Target="media/image302.wmf"/><Relationship Id="rId474" Type="http://schemas.openxmlformats.org/officeDocument/2006/relationships/image" Target="media/image303.wmf"/><Relationship Id="rId475" Type="http://schemas.openxmlformats.org/officeDocument/2006/relationships/image" Target="media/image304.wmf"/><Relationship Id="rId476" Type="http://schemas.openxmlformats.org/officeDocument/2006/relationships/image" Target="media/image305.wmf"/><Relationship Id="rId477" Type="http://schemas.openxmlformats.org/officeDocument/2006/relationships/hyperlink" Target="https://login.consultant.ru/link/?req=doc&amp;base=LAW&amp;n=483130" TargetMode = "External"/><Relationship Id="rId478" Type="http://schemas.openxmlformats.org/officeDocument/2006/relationships/hyperlink" Target="https://login.consultant.ru/link/?req=doc&amp;base=LAW&amp;n=172763&amp;dst=100077" TargetMode = "External"/><Relationship Id="rId479" Type="http://schemas.openxmlformats.org/officeDocument/2006/relationships/hyperlink" Target="https://login.consultant.ru/link/?req=doc&amp;base=LAW&amp;n=278503&amp;dst=100017" TargetMode = "External"/><Relationship Id="rId480" Type="http://schemas.openxmlformats.org/officeDocument/2006/relationships/hyperlink" Target="https://login.consultant.ru/link/?req=doc&amp;base=LAW&amp;n=421209&amp;dst=100023" TargetMode = "External"/><Relationship Id="rId481" Type="http://schemas.openxmlformats.org/officeDocument/2006/relationships/hyperlink" Target="https://login.consultant.ru/link/?req=doc&amp;base=LAW&amp;n=172763&amp;dst=100007" TargetMode = "External"/><Relationship Id="rId482" Type="http://schemas.openxmlformats.org/officeDocument/2006/relationships/hyperlink" Target="https://login.consultant.ru/link/?req=doc&amp;base=LAW&amp;n=369328&amp;dst=100095" TargetMode = "External"/><Relationship Id="rId483" Type="http://schemas.openxmlformats.org/officeDocument/2006/relationships/header" Target="header2.xml"/><Relationship Id="rId484" Type="http://schemas.openxmlformats.org/officeDocument/2006/relationships/footer" Target="footer2.xml"/><Relationship Id="rId485" Type="http://schemas.openxmlformats.org/officeDocument/2006/relationships/hyperlink" Target="https://login.consultant.ru/link/?req=doc&amp;base=LAW&amp;n=172763&amp;dst=100008" TargetMode = "External"/><Relationship Id="rId486" Type="http://schemas.openxmlformats.org/officeDocument/2006/relationships/hyperlink" Target="https://login.consultant.ru/link/?req=doc&amp;base=LAW&amp;n=172763&amp;dst=100009" TargetMode = "External"/><Relationship Id="rId487" Type="http://schemas.openxmlformats.org/officeDocument/2006/relationships/hyperlink" Target="https://login.consultant.ru/link/?req=doc&amp;base=LAW&amp;n=481921&amp;dst=100053" TargetMode = "External"/><Relationship Id="rId488" Type="http://schemas.openxmlformats.org/officeDocument/2006/relationships/hyperlink" Target="https://login.consultant.ru/link/?req=doc&amp;base=LAW&amp;n=338501&amp;dst=100153" TargetMode = "External"/><Relationship Id="rId489" Type="http://schemas.openxmlformats.org/officeDocument/2006/relationships/hyperlink" Target="https://login.consultant.ru/link/?req=doc&amp;base=LAW&amp;n=483239&amp;dst=150" TargetMode = "External"/><Relationship Id="rId490" Type="http://schemas.openxmlformats.org/officeDocument/2006/relationships/hyperlink" Target="https://login.consultant.ru/link/?req=doc&amp;base=LAW&amp;n=483239&amp;dst=100600" TargetMode = "External"/><Relationship Id="rId491" Type="http://schemas.openxmlformats.org/officeDocument/2006/relationships/hyperlink" Target="https://login.consultant.ru/link/?req=doc&amp;base=LAW&amp;n=483239&amp;dst=100603" TargetMode = "External"/><Relationship Id="rId492" Type="http://schemas.openxmlformats.org/officeDocument/2006/relationships/hyperlink" Target="https://login.consultant.ru/link/?req=doc&amp;base=LAW&amp;n=483239&amp;dst=100605" TargetMode = "External"/><Relationship Id="rId493" Type="http://schemas.openxmlformats.org/officeDocument/2006/relationships/hyperlink" Target="https://login.consultant.ru/link/?req=doc&amp;base=LAW&amp;n=312528" TargetMode = "External"/><Relationship Id="rId494" Type="http://schemas.openxmlformats.org/officeDocument/2006/relationships/hyperlink" Target="https://login.consultant.ru/link/?req=doc&amp;base=LAW&amp;n=312528" TargetMode = "External"/><Relationship Id="rId495" Type="http://schemas.openxmlformats.org/officeDocument/2006/relationships/hyperlink" Target="https://login.consultant.ru/link/?req=doc&amp;base=LAW&amp;n=312528" TargetMode = "External"/><Relationship Id="rId496" Type="http://schemas.openxmlformats.org/officeDocument/2006/relationships/hyperlink" Target="https://login.consultant.ru/link/?req=doc&amp;base=LAW&amp;n=312528" TargetMode = "External"/><Relationship Id="rId497" Type="http://schemas.openxmlformats.org/officeDocument/2006/relationships/hyperlink" Target="https://login.consultant.ru/link/?req=doc&amp;base=LAW&amp;n=172763&amp;dst=100010" TargetMode = "External"/><Relationship Id="rId498" Type="http://schemas.openxmlformats.org/officeDocument/2006/relationships/hyperlink" Target="https://login.consultant.ru/link/?req=doc&amp;base=LAW&amp;n=369328&amp;dst=100107" TargetMode = "External"/><Relationship Id="rId499" Type="http://schemas.openxmlformats.org/officeDocument/2006/relationships/hyperlink" Target="https://login.consultant.ru/link/?req=doc&amp;base=LAW&amp;n=369328&amp;dst=100165" TargetMode = "External"/><Relationship Id="rId500" Type="http://schemas.openxmlformats.org/officeDocument/2006/relationships/hyperlink" Target="https://login.consultant.ru/link/?req=doc&amp;base=LAW&amp;n=369328&amp;dst=100165" TargetMode = "External"/><Relationship Id="rId501" Type="http://schemas.openxmlformats.org/officeDocument/2006/relationships/hyperlink" Target="https://login.consultant.ru/link/?req=doc&amp;base=LAW&amp;n=172763&amp;dst=100011" TargetMode = "External"/><Relationship Id="rId502" Type="http://schemas.openxmlformats.org/officeDocument/2006/relationships/hyperlink" Target="https://login.consultant.ru/link/?req=doc&amp;base=LAW&amp;n=481921&amp;dst=100056" TargetMode = "External"/><Relationship Id="rId503" Type="http://schemas.openxmlformats.org/officeDocument/2006/relationships/hyperlink" Target="https://login.consultant.ru/link/?req=doc&amp;base=LAW&amp;n=221027&amp;dst=100028" TargetMode = "External"/><Relationship Id="rId504" Type="http://schemas.openxmlformats.org/officeDocument/2006/relationships/hyperlink" Target="https://login.consultant.ru/link/?req=doc&amp;base=LAW&amp;n=369328&amp;dst=100212" TargetMode = "External"/><Relationship Id="rId505" Type="http://schemas.openxmlformats.org/officeDocument/2006/relationships/hyperlink" Target="https://login.consultant.ru/link/?req=doc&amp;base=LAW&amp;n=369328&amp;dst=100215" TargetMode = "External"/><Relationship Id="rId506" Type="http://schemas.openxmlformats.org/officeDocument/2006/relationships/image" Target="media/image306.wmf"/><Relationship Id="rId507" Type="http://schemas.openxmlformats.org/officeDocument/2006/relationships/image" Target="media/image307.wmf"/><Relationship Id="rId508" Type="http://schemas.openxmlformats.org/officeDocument/2006/relationships/image" Target="media/image308.wmf"/><Relationship Id="rId509" Type="http://schemas.openxmlformats.org/officeDocument/2006/relationships/image" Target="media/image309.wmf"/><Relationship Id="rId510" Type="http://schemas.openxmlformats.org/officeDocument/2006/relationships/image" Target="media/image310.wmf"/><Relationship Id="rId511" Type="http://schemas.openxmlformats.org/officeDocument/2006/relationships/image" Target="media/image311.wmf"/><Relationship Id="rId512" Type="http://schemas.openxmlformats.org/officeDocument/2006/relationships/image" Target="media/image312.wmf"/><Relationship Id="rId513" Type="http://schemas.openxmlformats.org/officeDocument/2006/relationships/image" Target="media/image313.wmf"/><Relationship Id="rId514" Type="http://schemas.openxmlformats.org/officeDocument/2006/relationships/hyperlink" Target="https://login.consultant.ru/link/?req=doc&amp;base=LAW&amp;n=172763&amp;dst=100012" TargetMode = "External"/><Relationship Id="rId515" Type="http://schemas.openxmlformats.org/officeDocument/2006/relationships/hyperlink" Target="https://login.consultant.ru/link/?req=doc&amp;base=LAW&amp;n=172763&amp;dst=100013"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ФСТ России от 27.12.2013 N 1746-э
(ред. от 15.07.2024)
"Об утверждении Методических указаний по расчету регулируемых тарифов в сфере водоснабжения и водоотведения"
(Зарегистрировано в Минюсте России 25.02.2014 N 31412)</dc:title>
  <dcterms:created xsi:type="dcterms:W3CDTF">2025-08-22T08:39:58Z</dcterms:created>
</cp:coreProperties>
</file>