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22.11.2018 N 768</w:t>
              <w:br/>
              <w:t xml:space="preserve">"Об утверждении Программы газификации Смоленской области, финансируемой за счет специальной надбавки к тарифам на транспортировку газа газораспределительными организациями, на 2019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ноября 2018 г. N 768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СМОЛЕНСКОЙ ОБЛАСТИ,</w:t>
      </w:r>
    </w:p>
    <w:p>
      <w:pPr>
        <w:pStyle w:val="2"/>
        <w:jc w:val="center"/>
      </w:pPr>
      <w:r>
        <w:rPr>
          <w:sz w:val="20"/>
        </w:rPr>
        <w:t xml:space="preserve">ФИНАНСИРУЕМОЙ ЗА СЧЕТ СПЕЦИАЛЬНОЙ НАДБАВКИ К ТАРИФАМ</w:t>
      </w:r>
    </w:p>
    <w:p>
      <w:pPr>
        <w:pStyle w:val="2"/>
        <w:jc w:val="center"/>
      </w:pPr>
      <w:r>
        <w:rPr>
          <w:sz w:val="20"/>
        </w:rPr>
        <w:t xml:space="preserve">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2019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31.03.1999 N 69-ФЗ (ред. от 03.08.2018) &quot;О газоснабжении в Российской Федерации&quot; (с изм. и доп., вступ. в силу с 01.09.2018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9" w:tooltip="Постановление Правительства РФ от 03.05.2001 N 335 (ред. от 04.09.2015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28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2019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22.11.2018 N 768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СМОЛЕНСКОЙ ОБЛАСТИ, ФИНАНСИРУЕМАЯ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2019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9"/>
        <w:gridCol w:w="2674"/>
        <w:gridCol w:w="1414"/>
        <w:gridCol w:w="844"/>
        <w:gridCol w:w="1373"/>
        <w:gridCol w:w="1374"/>
        <w:gridCol w:w="1335"/>
        <w:gridCol w:w="1336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096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2019 году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Царево-Займище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Мамоново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5,18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110 - 90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6643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Астахово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6,35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Первитино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Северной в г. Демидове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Октябрьской в г. Демидове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Покровской в г. Демидове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Кооперативной в г. Демидове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ул. Советской (от дома N 1 до ул. Смирнова) и ул. Луначарского (от дома N 2 до ул. Смоленской) в г. Духовщине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жилой зоны дер. Кузьмичи Ершичского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160 - 63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Рогачево Смоленского района до ст. Духовская, дер. Духовская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5,66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Викторово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Голоевка до деревень Крапивенский-1, Крапивенский-2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ул. Пролетарской в г. Рославле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до дер. Любавичи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=6,0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жилой зоны дер. Рыжиково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ГРУ(К) - 50Н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к жилым домам по ул. Шоссейной в г. Смоленске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по ул. Гвоздовской в пос. Красный Бор г. Смоленска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3,87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среднего давления для газификации зоны жилой застройки в районе пос. Анастасино Смоленского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газоснабжения жилых домов, расположенных в с. Первомайский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ст. Канютино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дер. Мартыново, дер. Верховье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5426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ст. Канютино Холм-Жирковского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- 3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4509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газификации жилых домов ст. Владимирский Тупик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16,0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225 - 32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7176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2015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жилых домов, расположенных по ул. Ленинградской, ул. Цветочной, ул. Тенистой, ул. Пригородной в г. Ярцево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1,69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Петрово до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10,99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=2,6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5913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2016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gridSpan w:val="13"/>
            <w:tcW w:w="2096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Телятовки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Баррикадной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Титовщине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Ярославль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ул. Октябрьской, пер. Пионерского в пос. Монастырщина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Павловское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пос. Шумячи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 в дер. Гневково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Печеничено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13"/>
            <w:tcW w:w="2096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реконструкции, технического перевооружения, капитального ремонта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Замена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- 12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- 19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- 7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gridSpan w:val="2"/>
            <w:tcW w:w="2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- 53,0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- 40,0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62653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48270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132921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22.11.2018 N 768</w:t>
            <w:br/>
            <w:t>"Об утверждении Программы газификации Смоленской обла...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22.11.2018 N 768</w:t>
            <w:br/>
            <w:t>"Об утверждении Программы газификации Смоленской обла...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04416" TargetMode = "External"/><Relationship Id="rId9" Type="http://schemas.openxmlformats.org/officeDocument/2006/relationships/hyperlink" Target="https://login.consultant.ru/link/?req=doc&amp;base=LAW&amp;n=185760" TargetMode = "Externa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22.11.2018 N 768
"Об утверждении Программы газификации Смоленской области, финансируемой за счет специальной надбавки к тарифам на транспортировку газа газораспределительными организациями, на 2019 год"</dc:title>
  <dcterms:created xsi:type="dcterms:W3CDTF">2025-09-02T11:33:06Z</dcterms:created>
</cp:coreProperties>
</file>