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Минэнерго России от 10.08.2012 N 377</w:t>
              <w:br/>
              <w:t xml:space="preserve">(ред. от 22.08.2013)</w:t>
              <w:br/>
              <w:t xml:space="preserve">"О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br/>
              <w:t xml:space="preserve">(Зарегистрировано в Минюсте России 28.11.2012 N 25956)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ноября 2012 г. N 25956</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ЭНЕРГЕТИКИ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10 августа 2012 г. N 377</w:t>
      </w:r>
    </w:p>
    <w:p>
      <w:pPr>
        <w:pStyle w:val="2"/>
        <w:jc w:val="center"/>
      </w:pPr>
      <w:r>
        <w:rPr>
          <w:sz w:val="20"/>
        </w:rPr>
      </w:r>
    </w:p>
    <w:p>
      <w:pPr>
        <w:pStyle w:val="2"/>
        <w:jc w:val="center"/>
      </w:pPr>
      <w:r>
        <w:rPr>
          <w:sz w:val="20"/>
        </w:rPr>
        <w:t xml:space="preserve">О ПОРЯДКЕ</w:t>
      </w:r>
    </w:p>
    <w:p>
      <w:pPr>
        <w:pStyle w:val="2"/>
        <w:jc w:val="center"/>
      </w:pPr>
      <w:r>
        <w:rPr>
          <w:sz w:val="20"/>
        </w:rPr>
        <w:t xml:space="preserve">ОПРЕДЕЛЕНИЯ НОРМАТИВОВ ТЕХНОЛОГИЧЕСКИХ ПОТЕРЬ</w:t>
      </w:r>
    </w:p>
    <w:p>
      <w:pPr>
        <w:pStyle w:val="2"/>
        <w:jc w:val="center"/>
      </w:pPr>
      <w:r>
        <w:rPr>
          <w:sz w:val="20"/>
        </w:rPr>
        <w:t xml:space="preserve">ПРИ ПЕРЕДАЧЕ ТЕПЛОВОЙ ЭНЕРГИИ, ТЕПЛОНОСИТЕЛЯ, НОРМАТИВОВ</w:t>
      </w:r>
    </w:p>
    <w:p>
      <w:pPr>
        <w:pStyle w:val="2"/>
        <w:jc w:val="center"/>
      </w:pPr>
      <w:r>
        <w:rPr>
          <w:sz w:val="20"/>
        </w:rPr>
        <w:t xml:space="preserve">УДЕЛЬНОГО РАСХОДА ТОПЛИВА ПРИ ПРОИЗВОДСТВЕ ТЕПЛОВОЙ</w:t>
      </w:r>
    </w:p>
    <w:p>
      <w:pPr>
        <w:pStyle w:val="2"/>
        <w:jc w:val="center"/>
      </w:pPr>
      <w:r>
        <w:rPr>
          <w:sz w:val="20"/>
        </w:rPr>
        <w:t xml:space="preserve">ЭНЕРГИИ, НОРМАТИВОВ ЗАПАСОВ ТОПЛИВА НА ИСТОЧНИКАХ ТЕПЛОВОЙ</w:t>
      </w:r>
    </w:p>
    <w:p>
      <w:pPr>
        <w:pStyle w:val="2"/>
        <w:jc w:val="center"/>
      </w:pPr>
      <w:r>
        <w:rPr>
          <w:sz w:val="20"/>
        </w:rPr>
        <w:t xml:space="preserve">ЭНЕРГИИ (ЗА ИСКЛЮЧЕНИЕМ ИСТОЧНИКОВ ТЕПЛОВОЙ ЭНЕРГИИ,</w:t>
      </w:r>
    </w:p>
    <w:p>
      <w:pPr>
        <w:pStyle w:val="2"/>
        <w:jc w:val="center"/>
      </w:pPr>
      <w:r>
        <w:rPr>
          <w:sz w:val="20"/>
        </w:rPr>
        <w:t xml:space="preserve">ФУНКЦИОНИРУЮЩИХ В РЕЖИМЕ КОМБИНИРОВАННОЙ ВЫРАБОТКИ</w:t>
      </w:r>
    </w:p>
    <w:p>
      <w:pPr>
        <w:pStyle w:val="2"/>
        <w:jc w:val="center"/>
      </w:pPr>
      <w:r>
        <w:rPr>
          <w:sz w:val="20"/>
        </w:rPr>
        <w:t xml:space="preserve">ЭЛЕКТРИЧЕСКОЙ И ТЕПЛОВОЙ ЭНЕРГИИ), В ТОМ ЧИСЛЕ</w:t>
      </w:r>
    </w:p>
    <w:p>
      <w:pPr>
        <w:pStyle w:val="2"/>
        <w:jc w:val="center"/>
      </w:pPr>
      <w:r>
        <w:rPr>
          <w:sz w:val="20"/>
        </w:rPr>
        <w:t xml:space="preserve">В ЦЕЛЯХ ГОСУДАРСТВЕННОГО РЕГУЛИРОВАНИЯ ЦЕН</w:t>
      </w:r>
    </w:p>
    <w:p>
      <w:pPr>
        <w:pStyle w:val="2"/>
        <w:jc w:val="center"/>
      </w:pPr>
      <w:r>
        <w:rPr>
          <w:sz w:val="20"/>
        </w:rPr>
        <w:t xml:space="preserve">(ТАРИФОВ)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энерго России от 22.08.2013 N 469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16.04.2014 N 31993) ------------ Утратил силу или отменен {КонсультантПлюс}">
              <w:r>
                <w:rPr>
                  <w:sz w:val="20"/>
                  <w:color w:val="0000ff"/>
                </w:rPr>
                <w:t xml:space="preserve">Приказа</w:t>
              </w:r>
            </w:hyperlink>
            <w:r>
              <w:rPr>
                <w:sz w:val="20"/>
                <w:color w:val="392c69"/>
              </w:rPr>
              <w:t xml:space="preserve"> Минэнерго России от 22.08.2013 N 469)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8" w:tooltip="Федеральный закон от 27.07.2010 N 190-ФЗ (ред. от 08.08.2024) &quot;О теплоснабжении&quot; {КонсультантПлюс}">
        <w:r>
          <w:rPr>
            <w:sz w:val="20"/>
            <w:color w:val="0000ff"/>
          </w:rPr>
          <w:t xml:space="preserve">пунктом 4 части 2 статьи 4</w:t>
        </w:r>
      </w:hyperlink>
      <w:r>
        <w:rPr>
          <w:sz w:val="20"/>
        </w:rPr>
        <w:t xml:space="preserve"> Федерального закона от 27 июля 2010 г. N 190-ФЗ "О теплоснабжении" (Собрание законодательства Российской Федерации, 2010, N 31, ст. 4159) и </w:t>
      </w:r>
      <w:hyperlink w:history="0" r:id="rId9" w:tooltip="Постановление Правительства РФ от 28.05.2008 N 400 (ред. от 17.10.2024) &quot;О Министерстве энергетики Российской Федерации&quot; {КонсультантПлюс}">
        <w:r>
          <w:rPr>
            <w:sz w:val="20"/>
            <w:color w:val="0000ff"/>
          </w:rPr>
          <w:t xml:space="preserve">пунктом 4.2.14.8</w:t>
        </w:r>
      </w:hyperlink>
      <w:r>
        <w:rPr>
          <w:sz w:val="20"/>
        </w:rP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N 42, ст. 4825; N 46, ст. 5337; 2009, N 3, ст. 378; N 6, ст. 738; N 33, ст. 4088; N 52 (ч. II), ст. 6586; 2010, N 9, ст. 960; N 26, ст. 3350; N 31, ст. 4251; N 47, ст. 6128; 2011, N 6, ст. 888; N 14, ст. 1935; N 44, ст. 6269; 2012, N 11, ст. 1293; N 15, ст. 1779), приказываю:</w:t>
      </w:r>
    </w:p>
    <w:p>
      <w:pPr>
        <w:pStyle w:val="0"/>
        <w:spacing w:before="200" w:line-rule="auto"/>
        <w:ind w:firstLine="540"/>
        <w:jc w:val="both"/>
      </w:pPr>
      <w:r>
        <w:rPr>
          <w:sz w:val="20"/>
        </w:rPr>
        <w:t xml:space="preserve">Утвердить прилагаемые:</w:t>
      </w:r>
    </w:p>
    <w:p>
      <w:pPr>
        <w:pStyle w:val="0"/>
        <w:spacing w:before="200" w:line-rule="auto"/>
        <w:ind w:firstLine="540"/>
        <w:jc w:val="both"/>
      </w:pPr>
      <w:hyperlink w:history="0" w:anchor="P38" w:tooltip="ПОРЯДОК">
        <w:r>
          <w:rPr>
            <w:sz w:val="20"/>
            <w:color w:val="0000ff"/>
          </w:rPr>
          <w:t xml:space="preserve">Порядок</w:t>
        </w:r>
      </w:hyperlink>
      <w:r>
        <w:rPr>
          <w:sz w:val="20"/>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pPr>
        <w:pStyle w:val="0"/>
        <w:spacing w:before="200" w:line-rule="auto"/>
        <w:ind w:firstLine="540"/>
        <w:jc w:val="both"/>
      </w:pPr>
      <w:hyperlink w:history="0" w:anchor="P266" w:tooltip="ИЗМЕНЕНИЯ,">
        <w:r>
          <w:rPr>
            <w:sz w:val="20"/>
            <w:color w:val="0000ff"/>
          </w:rPr>
          <w:t xml:space="preserve">изменения</w:t>
        </w:r>
      </w:hyperlink>
      <w:r>
        <w:rPr>
          <w:sz w:val="20"/>
        </w:rPr>
        <w:t xml:space="preserve">, которые вносятся в приказы Минэнерго России от 4 сентября 2008 г. </w:t>
      </w:r>
      <w:hyperlink w:history="0" r:id="rId10" w:tooltip="Приказ Минэнерго РФ от 04.09.2008 N 66 &quot;Об организации в Министерстве энергетики Российской Федерации работы по утверждению нормативов создания запасов топлива на тепловых электростанциях и котельных&quot; (вместе с &quot;Инструкцией об организации в Минэнерго России работы по расчету и обоснованию нормативов создания запасов топлива на тепловых электростанциях и котельных&quot;) (Зарегистрировано в Минюсте РФ 31.10.2008 N 12560) ------------ Утратил силу или отменен {КонсультантПлюс}">
        <w:r>
          <w:rPr>
            <w:sz w:val="20"/>
            <w:color w:val="0000ff"/>
          </w:rPr>
          <w:t xml:space="preserve">N 66</w:t>
        </w:r>
      </w:hyperlink>
      <w:r>
        <w:rPr>
          <w:sz w:val="20"/>
        </w:rPr>
        <w:t xml:space="preserve"> "Об организации в Министерстве энергетики Российской Федерации работы по утверждению нормативов создания запасов топлива на тепловых электростанциях и котельных" (зарегистрирован Минюстом России 21 октября 2008 г., регистрационный N 12560), от 30 декабря 2008 г. </w:t>
      </w:r>
      <w:hyperlink w:history="0" r:id="rId11"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N 323</w:t>
        </w:r>
      </w:hyperlink>
      <w:r>
        <w:rPr>
          <w:sz w:val="20"/>
        </w:rPr>
        <w:t xml:space="preserve">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(зарегистрирован Минюстом России 16 марта 2009 г., регистрационный N 13512) и от 30 декабря 2008 г. </w:t>
      </w:r>
      <w:hyperlink w:history="0" r:id="rId12"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N 325</w:t>
        </w:r>
      </w:hyperlink>
      <w:r>
        <w:rPr>
          <w:sz w:val="20"/>
        </w:rPr>
        <w:t xml:space="preserve">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(зарегистрирован Минюстом России 16 марта 2009 г., регистрационный N 13513) (в редакции приказа Минэнерго России от 1 февраля 2010 г. N 36 "О внесении изменений в приказы Минэнерго России от 30.12.2008 N 325 и от 30.12.2008 N 326" (зарегистрирован Минюстом России 27 февраля 2010 г., регистрационный N 16520).</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А.В.НОВАК</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Минэнерго России</w:t>
      </w:r>
    </w:p>
    <w:p>
      <w:pPr>
        <w:pStyle w:val="0"/>
        <w:jc w:val="right"/>
      </w:pPr>
      <w:r>
        <w:rPr>
          <w:sz w:val="20"/>
        </w:rPr>
        <w:t xml:space="preserve">от 10 августа 2012 г. N 377</w:t>
      </w:r>
    </w:p>
    <w:p>
      <w:pPr>
        <w:pStyle w:val="0"/>
        <w:ind w:firstLine="54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ОПРЕДЕЛЕНИЯ НОРМАТИВОВ ЗАПАСОВ ТОПЛИВА НА ИСТОЧНИКАХ</w:t>
      </w:r>
    </w:p>
    <w:p>
      <w:pPr>
        <w:pStyle w:val="2"/>
        <w:jc w:val="center"/>
      </w:pPr>
      <w:r>
        <w:rPr>
          <w:sz w:val="20"/>
        </w:rPr>
        <w:t xml:space="preserve">ТЕПЛОВОЙ ЭНЕРГИИ (ЗА ИСКЛЮЧЕНИЕМ ИСТОЧНИКОВ ТЕПЛОВОЙ</w:t>
      </w:r>
    </w:p>
    <w:p>
      <w:pPr>
        <w:pStyle w:val="2"/>
        <w:jc w:val="center"/>
      </w:pPr>
      <w:r>
        <w:rPr>
          <w:sz w:val="20"/>
        </w:rPr>
        <w:t xml:space="preserve">ЭНЕРГИИ, ФУНКЦИОНИРУЮЩИХ В РЕЖИМЕ КОМБИНИРОВАННОЙ</w:t>
      </w:r>
    </w:p>
    <w:p>
      <w:pPr>
        <w:pStyle w:val="2"/>
        <w:jc w:val="center"/>
      </w:pPr>
      <w:r>
        <w:rPr>
          <w:sz w:val="20"/>
        </w:rPr>
        <w:t xml:space="preserve">ВЫРАБОТКИ ЭЛЕКТРИЧЕСКОЙ И ТЕПЛОВОЙ ЭНЕРГИИ)</w:t>
      </w:r>
    </w:p>
    <w:p>
      <w:pPr>
        <w:pStyle w:val="0"/>
        <w:jc w:val="center"/>
      </w:pPr>
      <w:r>
        <w:rPr>
          <w:sz w:val="20"/>
        </w:rPr>
      </w:r>
    </w:p>
    <w:p>
      <w:pPr>
        <w:pStyle w:val="0"/>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Настоящий Порядок устанавливает правила расчета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(далее - котельные), и основные требования к нормированию запасов топлива (уголь, мазут, торф, дизельное топливо, печное топливо) при производстве тепловой энергии организациями, независимо от форм собственности и организационно-правовых форм.</w:t>
      </w:r>
    </w:p>
    <w:p>
      <w:pPr>
        <w:pStyle w:val="0"/>
        <w:spacing w:before="200" w:line-rule="auto"/>
        <w:ind w:firstLine="540"/>
        <w:jc w:val="both"/>
      </w:pPr>
      <w:r>
        <w:rPr>
          <w:sz w:val="20"/>
        </w:rPr>
        <w:t xml:space="preserve">2. Норматив запасов топлива на котельных рассчитывается как запас основного и резервного видов топлива (далее - ОНЗТ)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bookmarkStart w:id="48" w:name="P48"/>
    <w:bookmarkEnd w:id="48"/>
    <w:p>
      <w:pPr>
        <w:pStyle w:val="0"/>
        <w:spacing w:before="200" w:line-rule="auto"/>
        <w:ind w:firstLine="540"/>
        <w:jc w:val="both"/>
      </w:pPr>
      <w:r>
        <w:rPr>
          <w:sz w:val="20"/>
        </w:rPr>
        <w:t xml:space="preserve">3. ННЗТ определяется для котельных в размере, обеспечивающем поддержание плюсовых температур в главном корпусе, вспомогательных зданиях и сооружениях в режиме "выживания" с минимальной расчетной тепловой нагрузкой по условиям самого холодного месяца года.</w:t>
      </w:r>
    </w:p>
    <w:p>
      <w:pPr>
        <w:pStyle w:val="0"/>
        <w:spacing w:before="200" w:line-rule="auto"/>
        <w:ind w:firstLine="540"/>
        <w:jc w:val="both"/>
      </w:pPr>
      <w:r>
        <w:rPr>
          <w:sz w:val="20"/>
        </w:rPr>
        <w:t xml:space="preserve">4. ННЗТ на отопительных котельных определяется в размере, рассчитываемом в соответствии с </w:t>
      </w:r>
      <w:hyperlink w:history="0" w:anchor="P48" w:tooltip="3. ННЗТ определяется для котельных в размере, обеспечивающем поддержание плюсовых температур в главном корпусе, вспомогательных зданиях и сооружениях в режиме &quot;выживания&quot; с минимальной расчетной тепловой нагрузкой по условиям самого холодного месяца года.">
        <w:r>
          <w:rPr>
            <w:sz w:val="20"/>
            <w:color w:val="0000ff"/>
          </w:rPr>
          <w:t xml:space="preserve">пунктом 3</w:t>
        </w:r>
      </w:hyperlink>
      <w:r>
        <w:rPr>
          <w:sz w:val="20"/>
        </w:rPr>
        <w:t xml:space="preserve"> настоящего Порядка, а также с учетом необходимости обеспечения их работы в условиях непредвиденных обстоятельств при невозможности использования или исчерпании НЭЗТ.</w:t>
      </w:r>
    </w:p>
    <w:p>
      <w:pPr>
        <w:pStyle w:val="0"/>
        <w:spacing w:before="200" w:line-rule="auto"/>
        <w:ind w:firstLine="540"/>
        <w:jc w:val="both"/>
      </w:pPr>
      <w:r>
        <w:rPr>
          <w:sz w:val="20"/>
        </w:rPr>
        <w:t xml:space="preserve">5. В расчете ННЗТ учитываются следующие объекты:</w:t>
      </w:r>
    </w:p>
    <w:p>
      <w:pPr>
        <w:pStyle w:val="0"/>
        <w:spacing w:before="200" w:line-rule="auto"/>
        <w:ind w:firstLine="540"/>
        <w:jc w:val="both"/>
      </w:pPr>
      <w:r>
        <w:rPr>
          <w:sz w:val="20"/>
        </w:rPr>
        <w:t xml:space="preserve">объекты социально значимых категорий потребителей - в размере максимальной тепловой нагрузки за вычетом тепловой нагрузки горячего водоснабжения;</w:t>
      </w:r>
    </w:p>
    <w:p>
      <w:pPr>
        <w:pStyle w:val="0"/>
        <w:spacing w:before="200" w:line-rule="auto"/>
        <w:ind w:firstLine="540"/>
        <w:jc w:val="both"/>
      </w:pPr>
      <w:r>
        <w:rPr>
          <w:sz w:val="20"/>
        </w:rPr>
        <w:t xml:space="preserve">центральные тепловые пункты, насосные станции, собственные нужды источников тепловой энергии в осенне-зимний период.</w:t>
      </w:r>
    </w:p>
    <w:p>
      <w:pPr>
        <w:pStyle w:val="0"/>
        <w:spacing w:before="200" w:line-rule="auto"/>
        <w:ind w:firstLine="540"/>
        <w:jc w:val="both"/>
      </w:pPr>
      <w:r>
        <w:rPr>
          <w:sz w:val="20"/>
        </w:rPr>
        <w:t xml:space="preserve">6. ННЗТ рассчитывается один раз в три года, результаты расчетов рекомендуется оформлять по форме согласно </w:t>
      </w:r>
      <w:hyperlink w:history="0" w:anchor="P163" w:tooltip="Основные исходные данные и результаты расчета">
        <w:r>
          <w:rPr>
            <w:sz w:val="20"/>
            <w:color w:val="0000ff"/>
          </w:rPr>
          <w:t xml:space="preserve">приложению N 1</w:t>
        </w:r>
      </w:hyperlink>
      <w:r>
        <w:rPr>
          <w:sz w:val="20"/>
        </w:rPr>
        <w:t xml:space="preserve"> к настоящему Порядку.</w:t>
      </w:r>
    </w:p>
    <w:p>
      <w:pPr>
        <w:pStyle w:val="0"/>
        <w:spacing w:before="200" w:line-rule="auto"/>
        <w:ind w:firstLine="540"/>
        <w:jc w:val="both"/>
      </w:pPr>
      <w:r>
        <w:rPr>
          <w:sz w:val="20"/>
        </w:rPr>
        <w:t xml:space="preserve">7. В течение трехлетнего периода ННЗТ подлежит корректировке в случаях изменения состава оборудования, структуры топлива, а также нагрузки социально значимых категорий потребителей тепловой энергии, не имеющих питания от других источников.</w:t>
      </w:r>
    </w:p>
    <w:p>
      <w:pPr>
        <w:pStyle w:val="0"/>
        <w:spacing w:before="200" w:line-rule="auto"/>
        <w:ind w:firstLine="540"/>
        <w:jc w:val="both"/>
      </w:pPr>
      <w:r>
        <w:rPr>
          <w:sz w:val="20"/>
        </w:rPr>
        <w:t xml:space="preserve">8. Расчет ННЗТ производится для котельных по каждому виду топлива раздельно.</w:t>
      </w:r>
    </w:p>
    <w:p>
      <w:pPr>
        <w:pStyle w:val="0"/>
        <w:spacing w:before="200" w:line-rule="auto"/>
        <w:ind w:firstLine="540"/>
        <w:jc w:val="both"/>
      </w:pPr>
      <w:r>
        <w:rPr>
          <w:sz w:val="20"/>
        </w:rPr>
        <w:t xml:space="preserve">9. ННЗТ восстанавливается в утвержденном размере после ликвидации последствий аварийных ситуаций.</w:t>
      </w:r>
    </w:p>
    <w:p>
      <w:pPr>
        <w:pStyle w:val="0"/>
        <w:spacing w:before="200" w:line-rule="auto"/>
        <w:ind w:firstLine="540"/>
        <w:jc w:val="both"/>
      </w:pPr>
      <w:r>
        <w:rPr>
          <w:sz w:val="20"/>
        </w:rPr>
        <w:t xml:space="preserve">10. Для котельных, работающих на газе, ННЗТ устанавливается по резервному топливу.</w:t>
      </w:r>
    </w:p>
    <w:p>
      <w:pPr>
        <w:pStyle w:val="0"/>
        <w:spacing w:before="200" w:line-rule="auto"/>
        <w:ind w:firstLine="540"/>
        <w:jc w:val="both"/>
      </w:pPr>
      <w:r>
        <w:rPr>
          <w:sz w:val="20"/>
        </w:rPr>
        <w:t xml:space="preserve">11. НЭЗТ необходим для надежной и стабильной работы котельных и обеспечивает плановую выработку тепловой энергии в случае введения ограничений поставок основного вида топлива.</w:t>
      </w:r>
    </w:p>
    <w:p>
      <w:pPr>
        <w:pStyle w:val="0"/>
        <w:spacing w:before="200" w:line-rule="auto"/>
        <w:ind w:firstLine="540"/>
        <w:jc w:val="both"/>
      </w:pPr>
      <w:r>
        <w:rPr>
          <w:sz w:val="20"/>
        </w:rPr>
        <w:t xml:space="preserve">12. Расчет НЭЗТ производится ежегодно для каждой котельной, сжигающей или имеющей в качестве резервного твердое или жидкое топливо (уголь, мазут, торф, дизельное топливо). Расчеты производятся на 1 октября планируемого года.</w:t>
      </w:r>
    </w:p>
    <w:p>
      <w:pPr>
        <w:pStyle w:val="0"/>
        <w:spacing w:before="200" w:line-rule="auto"/>
        <w:ind w:firstLine="540"/>
        <w:jc w:val="both"/>
      </w:pPr>
      <w:r>
        <w:rPr>
          <w:sz w:val="20"/>
        </w:rPr>
        <w:t xml:space="preserve">13. Расчеты ННЗТ и НЭЗТ производятся по котельным организаций электроэнергетики и отопительным (производственно-отопительным) котельным организаций, не относящихся к организациям электроэнергетики, в соответствии с </w:t>
      </w:r>
      <w:hyperlink w:history="0" w:anchor="P77" w:tooltip="II. Методика выполнения расчетов нормативов создания">
        <w:r>
          <w:rPr>
            <w:sz w:val="20"/>
            <w:color w:val="0000ff"/>
          </w:rPr>
          <w:t xml:space="preserve">разделом II</w:t>
        </w:r>
      </w:hyperlink>
      <w:r>
        <w:rPr>
          <w:sz w:val="20"/>
        </w:rPr>
        <w:t xml:space="preserve"> настоящего Порядка. В результатах расчетов значения нормативов представляются в тоннах натурального твердого и жидкого топлива и округляются до десятых долей указанной единицы измерения.</w:t>
      </w:r>
    </w:p>
    <w:p>
      <w:pPr>
        <w:pStyle w:val="0"/>
        <w:spacing w:before="200" w:line-rule="auto"/>
        <w:ind w:firstLine="540"/>
        <w:jc w:val="both"/>
      </w:pPr>
      <w:r>
        <w:rPr>
          <w:sz w:val="20"/>
        </w:rPr>
        <w:t xml:space="preserve">14. Определение нормативов осуществляется на основании следующих данных:</w:t>
      </w:r>
    </w:p>
    <w:p>
      <w:pPr>
        <w:pStyle w:val="0"/>
        <w:spacing w:before="200" w:line-rule="auto"/>
        <w:ind w:firstLine="540"/>
        <w:jc w:val="both"/>
      </w:pPr>
      <w:r>
        <w:rPr>
          <w:sz w:val="20"/>
        </w:rPr>
        <w:t xml:space="preserve">1) данные о фактическом основном и резервном топливе, его характеристика и структура на 1 октября последнего отчетного года;</w:t>
      </w:r>
    </w:p>
    <w:p>
      <w:pPr>
        <w:pStyle w:val="0"/>
        <w:spacing w:before="200" w:line-rule="auto"/>
        <w:ind w:firstLine="540"/>
        <w:jc w:val="both"/>
      </w:pPr>
      <w:r>
        <w:rPr>
          <w:sz w:val="20"/>
        </w:rPr>
        <w:t xml:space="preserve">2) способы и время доставки топлива;</w:t>
      </w:r>
    </w:p>
    <w:p>
      <w:pPr>
        <w:pStyle w:val="0"/>
        <w:spacing w:before="200" w:line-rule="auto"/>
        <w:ind w:firstLine="540"/>
        <w:jc w:val="both"/>
      </w:pPr>
      <w:r>
        <w:rPr>
          <w:sz w:val="20"/>
        </w:rPr>
        <w:t xml:space="preserve">3) данные о вместимости складов для твердого топлива и объеме емкостей для жидкого топлива;</w:t>
      </w:r>
    </w:p>
    <w:p>
      <w:pPr>
        <w:pStyle w:val="0"/>
        <w:spacing w:before="200" w:line-rule="auto"/>
        <w:ind w:firstLine="540"/>
        <w:jc w:val="both"/>
      </w:pPr>
      <w:r>
        <w:rPr>
          <w:sz w:val="20"/>
        </w:rPr>
        <w:t xml:space="preserve">4) показатели среднесуточного расхода топлива в наиболее холодное расчетное время года предшествующих периодов;</w:t>
      </w:r>
    </w:p>
    <w:p>
      <w:pPr>
        <w:pStyle w:val="0"/>
        <w:spacing w:before="200" w:line-rule="auto"/>
        <w:ind w:firstLine="540"/>
        <w:jc w:val="both"/>
      </w:pPr>
      <w:r>
        <w:rPr>
          <w:sz w:val="20"/>
        </w:rPr>
        <w:t xml:space="preserve">5) технологическая схема и состав оборудования, обеспечивающие работу котельных в режиме "выживания";</w:t>
      </w:r>
    </w:p>
    <w:p>
      <w:pPr>
        <w:pStyle w:val="0"/>
        <w:spacing w:before="200" w:line-rule="auto"/>
        <w:ind w:firstLine="540"/>
        <w:jc w:val="both"/>
      </w:pPr>
      <w:r>
        <w:rPr>
          <w:sz w:val="20"/>
        </w:rPr>
        <w:t xml:space="preserve">6) перечень неотключаемых внешних потребителей тепловой энергии;</w:t>
      </w:r>
    </w:p>
    <w:p>
      <w:pPr>
        <w:pStyle w:val="0"/>
        <w:spacing w:before="200" w:line-rule="auto"/>
        <w:ind w:firstLine="540"/>
        <w:jc w:val="both"/>
      </w:pPr>
      <w:r>
        <w:rPr>
          <w:sz w:val="20"/>
        </w:rPr>
        <w:t xml:space="preserve">7) расчетная тепловая нагрузка внешних потребителей (не учитывается тепловая нагрузка котельных, которая по условиям тепловых сетей может быть временно передана на другие электростанции и котельные);</w:t>
      </w:r>
    </w:p>
    <w:p>
      <w:pPr>
        <w:pStyle w:val="0"/>
        <w:spacing w:before="200" w:line-rule="auto"/>
        <w:ind w:firstLine="540"/>
        <w:jc w:val="both"/>
      </w:pPr>
      <w:r>
        <w:rPr>
          <w:sz w:val="20"/>
        </w:rPr>
        <w:t xml:space="preserve">8) расчет минимально необходимой тепловой нагрузки для собственных нужд котельных;</w:t>
      </w:r>
    </w:p>
    <w:p>
      <w:pPr>
        <w:pStyle w:val="0"/>
        <w:spacing w:before="200" w:line-rule="auto"/>
        <w:ind w:firstLine="540"/>
        <w:jc w:val="both"/>
      </w:pPr>
      <w:r>
        <w:rPr>
          <w:sz w:val="20"/>
        </w:rPr>
        <w:t xml:space="preserve">9) обоснование принимаемых коэффициентов для определения нормативов запасов топлива на котельных;</w:t>
      </w:r>
    </w:p>
    <w:p>
      <w:pPr>
        <w:pStyle w:val="0"/>
        <w:spacing w:before="200" w:line-rule="auto"/>
        <w:ind w:firstLine="540"/>
        <w:jc w:val="both"/>
      </w:pPr>
      <w:r>
        <w:rPr>
          <w:sz w:val="20"/>
        </w:rPr>
        <w:t xml:space="preserve">10) размер ОНЗТ с разбивкой на ННЗТ и НЭЗТ, утвержденный на предшествующий планируемому год;</w:t>
      </w:r>
    </w:p>
    <w:p>
      <w:pPr>
        <w:pStyle w:val="0"/>
        <w:spacing w:before="200" w:line-rule="auto"/>
        <w:ind w:firstLine="540"/>
        <w:jc w:val="both"/>
      </w:pPr>
      <w:r>
        <w:rPr>
          <w:sz w:val="20"/>
        </w:rPr>
        <w:t xml:space="preserve">11) фактическое использование топлива из ОНЗТ с выделением НЭЗТ за последний отчетный год.</w:t>
      </w:r>
    </w:p>
    <w:p>
      <w:pPr>
        <w:pStyle w:val="0"/>
        <w:spacing w:before="200" w:line-rule="auto"/>
        <w:ind w:firstLine="540"/>
        <w:jc w:val="both"/>
      </w:pPr>
      <w:r>
        <w:rPr>
          <w:sz w:val="20"/>
        </w:rPr>
        <w:t xml:space="preserve">15. ОНЗТ определяются не позднее 1 октября года, предшествующего планируемому.</w:t>
      </w:r>
    </w:p>
    <w:p>
      <w:pPr>
        <w:pStyle w:val="0"/>
        <w:spacing w:before="200" w:line-rule="auto"/>
        <w:ind w:firstLine="540"/>
        <w:jc w:val="both"/>
      </w:pPr>
      <w:r>
        <w:rPr>
          <w:sz w:val="20"/>
        </w:rPr>
        <w:t xml:space="preserve">Основаниями для корректировки нормативов запасов топлива являются изменения программы выработки тепловой энергии или смена вида топлива, реализация мероприятий по реконструкции и (или) модернизации источников тепловой энергии и (или) тепловых сетей, приводящих к изменению объема выработки тепловой энергии (мощности).</w:t>
      </w:r>
    </w:p>
    <w:p>
      <w:pPr>
        <w:pStyle w:val="0"/>
        <w:spacing w:before="200" w:line-rule="auto"/>
        <w:ind w:firstLine="540"/>
        <w:jc w:val="both"/>
      </w:pPr>
      <w:r>
        <w:rPr>
          <w:sz w:val="20"/>
        </w:rPr>
        <w:t xml:space="preserve">16. Все результаты расчетов и обоснования принимаемых коэффициентов для определения нормативов запасов топлива на котельных рекомендуется оформлять в виде пояснительной записки на бумажном носителе (брошюруются в отдельную книгу) и в электронном виде.</w:t>
      </w:r>
    </w:p>
    <w:p>
      <w:pPr>
        <w:pStyle w:val="0"/>
        <w:ind w:firstLine="540"/>
        <w:jc w:val="both"/>
      </w:pPr>
      <w:r>
        <w:rPr>
          <w:sz w:val="20"/>
        </w:rPr>
      </w:r>
    </w:p>
    <w:bookmarkStart w:id="77" w:name="P77"/>
    <w:bookmarkEnd w:id="77"/>
    <w:p>
      <w:pPr>
        <w:pStyle w:val="0"/>
        <w:outlineLvl w:val="1"/>
        <w:jc w:val="center"/>
      </w:pPr>
      <w:r>
        <w:rPr>
          <w:sz w:val="20"/>
        </w:rPr>
        <w:t xml:space="preserve">II. Методика выполнения расчетов нормативов создания</w:t>
      </w:r>
    </w:p>
    <w:p>
      <w:pPr>
        <w:pStyle w:val="0"/>
        <w:jc w:val="center"/>
      </w:pPr>
      <w:r>
        <w:rPr>
          <w:sz w:val="20"/>
        </w:rPr>
        <w:t xml:space="preserve">запасов топлива для котельных</w:t>
      </w:r>
    </w:p>
    <w:p>
      <w:pPr>
        <w:pStyle w:val="0"/>
        <w:jc w:val="center"/>
      </w:pPr>
      <w:r>
        <w:rPr>
          <w:sz w:val="20"/>
        </w:rPr>
      </w:r>
    </w:p>
    <w:p>
      <w:pPr>
        <w:pStyle w:val="0"/>
        <w:ind w:firstLine="540"/>
        <w:jc w:val="both"/>
      </w:pPr>
      <w:r>
        <w:rPr>
          <w:sz w:val="20"/>
        </w:rPr>
        <w:t xml:space="preserve">17. Нормативы создания запасов топлива могут формироваться:</w:t>
      </w:r>
    </w:p>
    <w:p>
      <w:pPr>
        <w:pStyle w:val="0"/>
        <w:spacing w:before="200" w:line-rule="auto"/>
        <w:ind w:firstLine="540"/>
        <w:jc w:val="both"/>
      </w:pPr>
      <w:r>
        <w:rPr>
          <w:sz w:val="20"/>
        </w:rPr>
        <w:t xml:space="preserve">для организации в целом при возможности использования запасов топлива независимо от территориального расположения источников тепловой энергии и складов для хранения топлива;</w:t>
      </w:r>
    </w:p>
    <w:p>
      <w:pPr>
        <w:pStyle w:val="0"/>
        <w:spacing w:before="200" w:line-rule="auto"/>
        <w:ind w:firstLine="540"/>
        <w:jc w:val="both"/>
      </w:pPr>
      <w:r>
        <w:rPr>
          <w:sz w:val="20"/>
        </w:rPr>
        <w:t xml:space="preserve">для отдельных обособленных подразделений (филиалов) по видам топлива;</w:t>
      </w:r>
    </w:p>
    <w:p>
      <w:pPr>
        <w:pStyle w:val="0"/>
        <w:spacing w:before="200" w:line-rule="auto"/>
        <w:ind w:firstLine="540"/>
        <w:jc w:val="both"/>
      </w:pPr>
      <w:r>
        <w:rPr>
          <w:sz w:val="20"/>
        </w:rPr>
        <w:t xml:space="preserve">для обособленных подразделений (филиалов), территориально отдаленных от других подразделений организации.</w:t>
      </w:r>
    </w:p>
    <w:p>
      <w:pPr>
        <w:pStyle w:val="0"/>
        <w:spacing w:before="200" w:line-rule="auto"/>
        <w:ind w:firstLine="540"/>
        <w:jc w:val="both"/>
      </w:pPr>
      <w:r>
        <w:rPr>
          <w:sz w:val="20"/>
        </w:rPr>
        <w:t xml:space="preserve">18. Подлежат отдельному расчету нормативы создания запасов топлива для организаций и (или) их обособленных подразделений (филиалов) в местностях, где завоз топлива носит сезонный характер.</w:t>
      </w:r>
    </w:p>
    <w:p>
      <w:pPr>
        <w:pStyle w:val="0"/>
        <w:spacing w:before="200" w:line-rule="auto"/>
        <w:ind w:firstLine="540"/>
        <w:jc w:val="both"/>
      </w:pPr>
      <w:r>
        <w:rPr>
          <w:sz w:val="20"/>
        </w:rPr>
        <w:t xml:space="preserve">Норматив создания запасов топлива для указанных организаций определяется на срок до следующей сезонной поставки топлива.</w:t>
      </w:r>
    </w:p>
    <w:p>
      <w:pPr>
        <w:pStyle w:val="0"/>
        <w:spacing w:before="200" w:line-rule="auto"/>
        <w:ind w:firstLine="540"/>
        <w:jc w:val="both"/>
      </w:pPr>
      <w:r>
        <w:rPr>
          <w:sz w:val="20"/>
        </w:rPr>
        <w:t xml:space="preserve">19. 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pPr>
        <w:pStyle w:val="0"/>
        <w:ind w:firstLine="540"/>
        <w:jc w:val="both"/>
      </w:pPr>
      <w:r>
        <w:rPr>
          <w:sz w:val="20"/>
        </w:rPr>
      </w:r>
    </w:p>
    <w:p>
      <w:pPr>
        <w:pStyle w:val="0"/>
        <w:ind w:firstLine="540"/>
        <w:jc w:val="both"/>
      </w:pPr>
      <w:r>
        <w:rPr>
          <w:position w:val="-21"/>
        </w:rPr>
        <w:drawing>
          <wp:inline distT="0" distB="0" distL="0" distR="0">
            <wp:extent cx="2540000" cy="401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401320"/>
                    </a:xfrm>
                    <a:prstGeom prst="rect">
                      <a:avLst/>
                    </a:prstGeom>
                    <a:noFill/>
                    <a:ln>
                      <a:noFill/>
                    </a:ln>
                  </pic:spPr>
                </pic:pic>
              </a:graphicData>
            </a:graphic>
          </wp:inline>
        </w:drawing>
      </w:r>
      <w:r>
        <w:rPr>
          <w:sz w:val="20"/>
        </w:rPr>
        <w:t xml:space="preserve">, (2.1)</w:t>
      </w:r>
    </w:p>
    <w:p>
      <w:pPr>
        <w:pStyle w:val="0"/>
        <w:ind w:firstLine="540"/>
        <w:jc w:val="both"/>
      </w:pPr>
      <w:r>
        <w:rPr>
          <w:sz w:val="20"/>
        </w:rPr>
      </w:r>
    </w:p>
    <w:p>
      <w:pPr>
        <w:pStyle w:val="0"/>
        <w:ind w:firstLine="540"/>
        <w:jc w:val="both"/>
      </w:pPr>
      <w:r>
        <w:rPr>
          <w:sz w:val="20"/>
        </w:rPr>
        <w:t xml:space="preserve">где </w:t>
      </w:r>
      <w:r>
        <w:rPr>
          <w:position w:val="-7"/>
        </w:rPr>
        <w:drawing>
          <wp:inline distT="0" distB="0" distL="0" distR="0">
            <wp:extent cx="320675"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320675" cy="226060"/>
                    </a:xfrm>
                    <a:prstGeom prst="rect">
                      <a:avLst/>
                    </a:prstGeom>
                    <a:noFill/>
                    <a:ln>
                      <a:noFill/>
                    </a:ln>
                  </pic:spPr>
                </pic:pic>
              </a:graphicData>
            </a:graphic>
          </wp:inline>
        </w:drawing>
      </w:r>
      <w:r>
        <w:rPr>
          <w:sz w:val="20"/>
        </w:rPr>
        <w:t xml:space="preserve"> - среднее значение отпуска тепловой энергии в тепловую сеть (выработка котельной) в самом холодном месяце, Гкал/сут.;</w:t>
      </w:r>
    </w:p>
    <w:p>
      <w:pPr>
        <w:pStyle w:val="0"/>
        <w:spacing w:before="200" w:line-rule="auto"/>
        <w:ind w:firstLine="540"/>
        <w:jc w:val="both"/>
      </w:pPr>
      <w:r>
        <w:rPr>
          <w:position w:val="-9"/>
        </w:rPr>
        <w:drawing>
          <wp:inline distT="0" distB="0" distL="0" distR="0">
            <wp:extent cx="342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Pr>
          <w:sz w:val="20"/>
        </w:rPr>
        <w:t xml:space="preserve"> - расчетный норматив удельного расхода топлива на отпущенную тепловую энергию для самого холодного месяца, т.у.т./Гкал;</w:t>
      </w:r>
    </w:p>
    <w:p>
      <w:pPr>
        <w:pStyle w:val="0"/>
        <w:spacing w:before="200" w:line-rule="auto"/>
        <w:ind w:firstLine="540"/>
        <w:jc w:val="both"/>
      </w:pPr>
      <w:r>
        <w:rPr>
          <w:sz w:val="20"/>
        </w:rPr>
        <w:t xml:space="preserve">K - коэффициент перевода натурального топлива в условное;</w:t>
      </w:r>
    </w:p>
    <w:p>
      <w:pPr>
        <w:pStyle w:val="0"/>
        <w:spacing w:before="200" w:line-rule="auto"/>
        <w:ind w:firstLine="540"/>
        <w:jc w:val="both"/>
      </w:pPr>
      <w:r>
        <w:rPr>
          <w:sz w:val="20"/>
        </w:rPr>
        <w:t xml:space="preserve">T - длительность периода формирования объема неснижаемого запаса топлива, сут.</w:t>
      </w:r>
    </w:p>
    <w:p>
      <w:pPr>
        <w:pStyle w:val="0"/>
        <w:spacing w:before="200" w:line-rule="auto"/>
        <w:ind w:firstLine="540"/>
        <w:jc w:val="both"/>
      </w:pPr>
      <w:r>
        <w:rPr>
          <w:sz w:val="20"/>
        </w:rPr>
        <w:t xml:space="preserve">20. Количество суток, на которые рассчитывается ННЗТ, определяется в зависимости от вида топлива и способа его доставки в соответствии с таблицей 1.</w:t>
      </w:r>
    </w:p>
    <w:p>
      <w:pPr>
        <w:pStyle w:val="0"/>
        <w:ind w:firstLine="540"/>
        <w:jc w:val="both"/>
      </w:pPr>
      <w:r>
        <w:rPr>
          <w:sz w:val="20"/>
        </w:rPr>
      </w:r>
    </w:p>
    <w:p>
      <w:pPr>
        <w:pStyle w:val="0"/>
        <w:outlineLvl w:val="2"/>
        <w:jc w:val="right"/>
      </w:pPr>
      <w:r>
        <w:rPr>
          <w:sz w:val="20"/>
        </w:rPr>
        <w:t xml:space="preserve">Таблица 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3969"/>
        <w:gridCol w:w="3118"/>
      </w:tblGrid>
      <w:tr>
        <w:tc>
          <w:tcPr>
            <w:tcW w:w="2551" w:type="dxa"/>
          </w:tcPr>
          <w:p>
            <w:pPr>
              <w:pStyle w:val="0"/>
              <w:jc w:val="center"/>
            </w:pPr>
            <w:r>
              <w:rPr>
                <w:sz w:val="20"/>
              </w:rPr>
              <w:t xml:space="preserve">Вид топлива</w:t>
            </w:r>
          </w:p>
        </w:tc>
        <w:tc>
          <w:tcPr>
            <w:tcW w:w="3969" w:type="dxa"/>
          </w:tcPr>
          <w:p>
            <w:pPr>
              <w:pStyle w:val="0"/>
              <w:jc w:val="center"/>
            </w:pPr>
            <w:r>
              <w:rPr>
                <w:sz w:val="20"/>
              </w:rPr>
              <w:t xml:space="preserve">Способ доставки топлива</w:t>
            </w:r>
          </w:p>
        </w:tc>
        <w:tc>
          <w:tcPr>
            <w:tcW w:w="3118" w:type="dxa"/>
          </w:tcPr>
          <w:p>
            <w:pPr>
              <w:pStyle w:val="0"/>
              <w:jc w:val="center"/>
            </w:pPr>
            <w:r>
              <w:rPr>
                <w:sz w:val="20"/>
              </w:rPr>
              <w:t xml:space="preserve">Объем запаса топлива, сут.</w:t>
            </w:r>
          </w:p>
        </w:tc>
      </w:tr>
      <w:tr>
        <w:tc>
          <w:tcPr>
            <w:tcW w:w="2551" w:type="dxa"/>
          </w:tcPr>
          <w:p>
            <w:pPr>
              <w:pStyle w:val="0"/>
              <w:jc w:val="center"/>
            </w:pPr>
            <w:r>
              <w:rPr>
                <w:sz w:val="20"/>
              </w:rPr>
              <w:t xml:space="preserve">1</w:t>
            </w:r>
          </w:p>
        </w:tc>
        <w:tc>
          <w:tcPr>
            <w:tcW w:w="3969" w:type="dxa"/>
          </w:tcPr>
          <w:p>
            <w:pPr>
              <w:pStyle w:val="0"/>
              <w:jc w:val="center"/>
            </w:pPr>
            <w:r>
              <w:rPr>
                <w:sz w:val="20"/>
              </w:rPr>
              <w:t xml:space="preserve">2</w:t>
            </w:r>
          </w:p>
        </w:tc>
        <w:tc>
          <w:tcPr>
            <w:tcW w:w="3118" w:type="dxa"/>
          </w:tcPr>
          <w:p>
            <w:pPr>
              <w:pStyle w:val="0"/>
              <w:jc w:val="center"/>
            </w:pPr>
            <w:r>
              <w:rPr>
                <w:sz w:val="20"/>
              </w:rPr>
              <w:t xml:space="preserve">3</w:t>
            </w:r>
          </w:p>
        </w:tc>
      </w:tr>
      <w:tr>
        <w:tc>
          <w:tcPr>
            <w:tcW w:w="2551" w:type="dxa"/>
            <w:vAlign w:val="center"/>
            <w:vMerge w:val="restart"/>
          </w:tcPr>
          <w:p>
            <w:pPr>
              <w:pStyle w:val="0"/>
              <w:jc w:val="center"/>
            </w:pPr>
            <w:r>
              <w:rPr>
                <w:sz w:val="20"/>
              </w:rPr>
              <w:t xml:space="preserve">твердое</w:t>
            </w:r>
          </w:p>
        </w:tc>
        <w:tc>
          <w:tcPr>
            <w:tcW w:w="3969" w:type="dxa"/>
            <w:tcBorders>
              <w:bottom w:val="nil"/>
            </w:tcBorders>
          </w:tcPr>
          <w:p>
            <w:pPr>
              <w:pStyle w:val="0"/>
              <w:jc w:val="center"/>
            </w:pPr>
            <w:r>
              <w:rPr>
                <w:sz w:val="20"/>
              </w:rPr>
              <w:t xml:space="preserve">железнодорожный транспорт</w:t>
            </w:r>
          </w:p>
        </w:tc>
        <w:tc>
          <w:tcPr>
            <w:tcW w:w="3118" w:type="dxa"/>
            <w:tcBorders>
              <w:bottom w:val="nil"/>
            </w:tcBorders>
          </w:tcPr>
          <w:p>
            <w:pPr>
              <w:pStyle w:val="0"/>
              <w:jc w:val="center"/>
            </w:pPr>
            <w:r>
              <w:rPr>
                <w:sz w:val="20"/>
              </w:rPr>
              <w:t xml:space="preserve">14</w:t>
            </w:r>
          </w:p>
        </w:tc>
      </w:tr>
      <w:tr>
        <w:tc>
          <w:tcPr>
            <w:vMerge w:val="continue"/>
          </w:tcPr>
          <w:p/>
        </w:tc>
        <w:tc>
          <w:tcPr>
            <w:tcW w:w="3969" w:type="dxa"/>
            <w:vAlign w:val="bottom"/>
            <w:tcBorders>
              <w:top w:val="nil"/>
            </w:tcBorders>
          </w:tcPr>
          <w:p>
            <w:pPr>
              <w:pStyle w:val="0"/>
              <w:jc w:val="center"/>
            </w:pPr>
            <w:r>
              <w:rPr>
                <w:sz w:val="20"/>
              </w:rPr>
              <w:t xml:space="preserve">автотранспорт</w:t>
            </w:r>
          </w:p>
        </w:tc>
        <w:tc>
          <w:tcPr>
            <w:tcW w:w="3118" w:type="dxa"/>
            <w:vAlign w:val="bottom"/>
            <w:tcBorders>
              <w:top w:val="nil"/>
            </w:tcBorders>
          </w:tcPr>
          <w:p>
            <w:pPr>
              <w:pStyle w:val="0"/>
              <w:jc w:val="center"/>
            </w:pPr>
            <w:r>
              <w:rPr>
                <w:sz w:val="20"/>
              </w:rPr>
              <w:t xml:space="preserve">7</w:t>
            </w:r>
          </w:p>
        </w:tc>
      </w:tr>
      <w:tr>
        <w:tc>
          <w:tcPr>
            <w:tcW w:w="2551" w:type="dxa"/>
            <w:vAlign w:val="center"/>
            <w:vMerge w:val="restart"/>
          </w:tcPr>
          <w:p>
            <w:pPr>
              <w:pStyle w:val="0"/>
              <w:jc w:val="center"/>
            </w:pPr>
            <w:r>
              <w:rPr>
                <w:sz w:val="20"/>
              </w:rPr>
              <w:t xml:space="preserve">жидкое</w:t>
            </w:r>
          </w:p>
        </w:tc>
        <w:tc>
          <w:tcPr>
            <w:tcW w:w="3969" w:type="dxa"/>
            <w:tcBorders>
              <w:bottom w:val="nil"/>
            </w:tcBorders>
          </w:tcPr>
          <w:p>
            <w:pPr>
              <w:pStyle w:val="0"/>
              <w:jc w:val="center"/>
            </w:pPr>
            <w:r>
              <w:rPr>
                <w:sz w:val="20"/>
              </w:rPr>
              <w:t xml:space="preserve">железнодорожный транспорт</w:t>
            </w:r>
          </w:p>
        </w:tc>
        <w:tc>
          <w:tcPr>
            <w:tcW w:w="3118" w:type="dxa"/>
            <w:tcBorders>
              <w:bottom w:val="nil"/>
            </w:tcBorders>
          </w:tcPr>
          <w:p>
            <w:pPr>
              <w:pStyle w:val="0"/>
              <w:jc w:val="center"/>
            </w:pPr>
            <w:r>
              <w:rPr>
                <w:sz w:val="20"/>
              </w:rPr>
              <w:t xml:space="preserve">10</w:t>
            </w:r>
          </w:p>
        </w:tc>
      </w:tr>
      <w:tr>
        <w:tblPrEx>
          <w:tblBorders>
            <w:insideH w:val="nil"/>
          </w:tblBorders>
        </w:tblPrEx>
        <w:tc>
          <w:tcPr>
            <w:vMerge w:val="continue"/>
          </w:tcPr>
          <w:p/>
        </w:tc>
        <w:tc>
          <w:tcPr>
            <w:tcW w:w="3969" w:type="dxa"/>
            <w:vAlign w:val="bottom"/>
            <w:tcBorders>
              <w:top w:val="nil"/>
            </w:tcBorders>
          </w:tcPr>
          <w:p>
            <w:pPr>
              <w:pStyle w:val="0"/>
              <w:jc w:val="center"/>
            </w:pPr>
            <w:r>
              <w:rPr>
                <w:sz w:val="20"/>
              </w:rPr>
              <w:t xml:space="preserve">автотранспорт</w:t>
            </w:r>
          </w:p>
        </w:tc>
        <w:tc>
          <w:tcPr>
            <w:tcW w:w="3118" w:type="dxa"/>
            <w:vAlign w:val="bottom"/>
            <w:tcBorders>
              <w:top w:val="nil"/>
            </w:tcBorders>
          </w:tcPr>
          <w:p>
            <w:pPr>
              <w:pStyle w:val="0"/>
              <w:jc w:val="center"/>
            </w:pPr>
            <w:r>
              <w:rPr>
                <w:sz w:val="20"/>
              </w:rPr>
              <w:t xml:space="preserve">5</w:t>
            </w:r>
          </w:p>
        </w:tc>
      </w:tr>
    </w:tbl>
    <w:p>
      <w:pPr>
        <w:pStyle w:val="0"/>
        <w:ind w:firstLine="540"/>
        <w:jc w:val="both"/>
      </w:pPr>
      <w:r>
        <w:rPr>
          <w:sz w:val="20"/>
        </w:rPr>
      </w:r>
    </w:p>
    <w:p>
      <w:pPr>
        <w:pStyle w:val="0"/>
        <w:ind w:firstLine="540"/>
        <w:jc w:val="both"/>
      </w:pPr>
      <w:r>
        <w:rPr>
          <w:sz w:val="20"/>
        </w:rPr>
        <w:t xml:space="preserve">21. 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p>
    <w:p>
      <w:pPr>
        <w:pStyle w:val="0"/>
        <w:spacing w:before="200" w:line-rule="auto"/>
        <w:ind w:firstLine="540"/>
        <w:jc w:val="both"/>
      </w:pPr>
      <w:r>
        <w:rPr>
          <w:sz w:val="20"/>
        </w:rPr>
        <w:t xml:space="preserve">по твердому топливу - 45 суток;</w:t>
      </w:r>
    </w:p>
    <w:p>
      <w:pPr>
        <w:pStyle w:val="0"/>
        <w:spacing w:before="200" w:line-rule="auto"/>
        <w:ind w:firstLine="540"/>
        <w:jc w:val="both"/>
      </w:pPr>
      <w:r>
        <w:rPr>
          <w:sz w:val="20"/>
        </w:rPr>
        <w:t xml:space="preserve">по жидкому топливу - 30 суток.</w:t>
      </w:r>
    </w:p>
    <w:p>
      <w:pPr>
        <w:pStyle w:val="0"/>
        <w:spacing w:before="200" w:line-rule="auto"/>
        <w:ind w:firstLine="540"/>
        <w:jc w:val="both"/>
      </w:pPr>
      <w:r>
        <w:rPr>
          <w:sz w:val="20"/>
        </w:rPr>
        <w:t xml:space="preserve">Расчет производится по формуле 2.2.</w:t>
      </w:r>
    </w:p>
    <w:p>
      <w:pPr>
        <w:pStyle w:val="0"/>
        <w:ind w:firstLine="540"/>
        <w:jc w:val="both"/>
      </w:pPr>
      <w:r>
        <w:rPr>
          <w:sz w:val="20"/>
        </w:rPr>
      </w:r>
    </w:p>
    <w:p>
      <w:pPr>
        <w:pStyle w:val="0"/>
        <w:ind w:firstLine="540"/>
        <w:jc w:val="both"/>
      </w:pPr>
      <w:r>
        <w:rPr>
          <w:position w:val="-21"/>
        </w:rPr>
        <w:drawing>
          <wp:inline distT="0" distB="0" distL="0" distR="0">
            <wp:extent cx="2501900" cy="401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2501900" cy="401320"/>
                    </a:xfrm>
                    <a:prstGeom prst="rect">
                      <a:avLst/>
                    </a:prstGeom>
                    <a:noFill/>
                    <a:ln>
                      <a:noFill/>
                    </a:ln>
                  </pic:spPr>
                </pic:pic>
              </a:graphicData>
            </a:graphic>
          </wp:inline>
        </w:drawing>
      </w:r>
      <w:r>
        <w:rPr>
          <w:sz w:val="20"/>
        </w:rPr>
        <w:t xml:space="preserve">, (2.2)</w:t>
      </w:r>
    </w:p>
    <w:p>
      <w:pPr>
        <w:pStyle w:val="0"/>
        <w:ind w:firstLine="540"/>
        <w:jc w:val="both"/>
      </w:pPr>
      <w:r>
        <w:rPr>
          <w:sz w:val="20"/>
        </w:rPr>
      </w:r>
    </w:p>
    <w:p>
      <w:pPr>
        <w:pStyle w:val="0"/>
        <w:ind w:firstLine="540"/>
        <w:jc w:val="both"/>
      </w:pPr>
      <w:r>
        <w:rPr>
          <w:sz w:val="20"/>
        </w:rPr>
        <w:t xml:space="preserve">где </w:t>
      </w:r>
      <w:r>
        <w:rPr>
          <w:position w:val="-10"/>
        </w:rPr>
        <w:drawing>
          <wp:inline distT="0" distB="0" distL="0" distR="0">
            <wp:extent cx="30670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 cy="256540"/>
                    </a:xfrm>
                    <a:prstGeom prst="rect">
                      <a:avLst/>
                    </a:prstGeom>
                    <a:noFill/>
                    <a:ln>
                      <a:noFill/>
                    </a:ln>
                  </pic:spPr>
                </pic:pic>
              </a:graphicData>
            </a:graphic>
          </wp:inline>
        </w:drawing>
      </w:r>
      <w:r>
        <w:rPr>
          <w:sz w:val="20"/>
        </w:rPr>
        <w:t xml:space="preserve"> - среднее значение отпуска тепловой энергии в тепловую сеть (выработка котельными) в течение трех наиболее холодных месяцев, Гкал/сут.;</w:t>
      </w:r>
    </w:p>
    <w:p>
      <w:pPr>
        <w:pStyle w:val="0"/>
        <w:spacing w:before="200" w:line-rule="auto"/>
        <w:ind w:firstLine="540"/>
        <w:jc w:val="both"/>
      </w:pPr>
      <w:r>
        <w:rPr>
          <w:position w:val="-9"/>
        </w:rPr>
        <w:drawing>
          <wp:inline distT="0" distB="0" distL="0" distR="0">
            <wp:extent cx="342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Pr>
          <w:sz w:val="20"/>
        </w:rPr>
        <w:t xml:space="preserve"> - расчетный норматив средневзвешенного удельного расхода топлива на отпущенную тепловую энергию по трем наиболее холодным месяцам, т.у.т./Гкал;</w:t>
      </w:r>
    </w:p>
    <w:p>
      <w:pPr>
        <w:pStyle w:val="0"/>
        <w:spacing w:before="200" w:line-rule="auto"/>
        <w:ind w:firstLine="540"/>
        <w:jc w:val="both"/>
      </w:pPr>
      <w:r>
        <w:rPr>
          <w:sz w:val="20"/>
        </w:rPr>
        <w:t xml:space="preserve">T - количество суток, сут.</w:t>
      </w:r>
    </w:p>
    <w:p>
      <w:pPr>
        <w:pStyle w:val="0"/>
        <w:spacing w:before="200" w:line-rule="auto"/>
        <w:ind w:firstLine="540"/>
        <w:jc w:val="both"/>
      </w:pPr>
      <w:r>
        <w:rPr>
          <w:sz w:val="20"/>
        </w:rPr>
        <w:t xml:space="preserve">22. Для организаций, эксплуатирующих отопительные (производственно-отопительные) котельные на газовом топливе с резервным топливом, в состав НЭЗТ дополнительно включается количество резервного топлива, необходимое для замещения (</w:t>
      </w:r>
      <w:r>
        <w:rPr>
          <w:position w:val="-7"/>
        </w:rPr>
        <w:drawing>
          <wp:inline distT="0" distB="0" distL="0" distR="0">
            <wp:extent cx="306705"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306705" cy="226060"/>
                    </a:xfrm>
                    <a:prstGeom prst="rect">
                      <a:avLst/>
                    </a:prstGeom>
                    <a:noFill/>
                    <a:ln>
                      <a:noFill/>
                    </a:ln>
                  </pic:spPr>
                </pic:pic>
              </a:graphicData>
            </a:graphic>
          </wp:inline>
        </w:drawing>
      </w:r>
      <w:r>
        <w:rPr>
          <w:sz w:val="20"/>
        </w:rPr>
        <w:t xml:space="preserve">) газового топлива в периоды сокращения его подачи газоснабжающими организациями.</w:t>
      </w:r>
    </w:p>
    <w:p>
      <w:pPr>
        <w:pStyle w:val="0"/>
        <w:spacing w:before="200" w:line-rule="auto"/>
        <w:ind w:firstLine="540"/>
        <w:jc w:val="both"/>
      </w:pPr>
      <w:r>
        <w:rPr>
          <w:sz w:val="20"/>
        </w:rPr>
        <w:t xml:space="preserve">Значение </w:t>
      </w:r>
      <w:r>
        <w:rPr>
          <w:position w:val="-7"/>
        </w:rPr>
        <w:drawing>
          <wp:inline distT="0" distB="0" distL="0" distR="0">
            <wp:extent cx="306705"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306705" cy="226060"/>
                    </a:xfrm>
                    <a:prstGeom prst="rect">
                      <a:avLst/>
                    </a:prstGeom>
                    <a:noFill/>
                    <a:ln>
                      <a:noFill/>
                    </a:ln>
                  </pic:spPr>
                </pic:pic>
              </a:graphicData>
            </a:graphic>
          </wp:inline>
        </w:drawing>
      </w:r>
      <w:r>
        <w:rPr>
          <w:sz w:val="20"/>
        </w:rPr>
        <w:t xml:space="preserve"> определяется по данным об ограничении подачи газа газоснабжающими организациями в период похолоданий, установленном на текущий год.</w:t>
      </w:r>
    </w:p>
    <w:p>
      <w:pPr>
        <w:pStyle w:val="0"/>
        <w:spacing w:before="200" w:line-rule="auto"/>
        <w:ind w:firstLine="540"/>
        <w:jc w:val="both"/>
      </w:pPr>
      <w:r>
        <w:rPr>
          <w:sz w:val="20"/>
        </w:rPr>
        <w:t xml:space="preserve">С учетом отклонений фактических данных по ограничениям от сообщавшихся газоснабжающими организациями за текущий и два предшествующих года значение </w:t>
      </w:r>
      <w:r>
        <w:rPr>
          <w:position w:val="-7"/>
        </w:rPr>
        <w:drawing>
          <wp:inline distT="0" distB="0" distL="0" distR="0">
            <wp:extent cx="306705"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306705" cy="226060"/>
                    </a:xfrm>
                    <a:prstGeom prst="rect">
                      <a:avLst/>
                    </a:prstGeom>
                    <a:noFill/>
                    <a:ln>
                      <a:noFill/>
                    </a:ln>
                  </pic:spPr>
                </pic:pic>
              </a:graphicData>
            </a:graphic>
          </wp:inline>
        </w:drawing>
      </w:r>
      <w:r>
        <w:rPr>
          <w:sz w:val="20"/>
        </w:rPr>
        <w:t xml:space="preserve"> может быть увеличено по их среднему значению, но не более чем на 25%.</w:t>
      </w:r>
    </w:p>
    <w:p>
      <w:pPr>
        <w:pStyle w:val="0"/>
        <w:ind w:firstLine="540"/>
        <w:jc w:val="both"/>
      </w:pPr>
      <w:r>
        <w:rPr>
          <w:sz w:val="20"/>
        </w:rPr>
      </w:r>
    </w:p>
    <w:p>
      <w:pPr>
        <w:pStyle w:val="0"/>
        <w:ind w:firstLine="540"/>
        <w:jc w:val="both"/>
      </w:pPr>
      <w:r>
        <w:rPr>
          <w:position w:val="-21"/>
        </w:rPr>
        <w:drawing>
          <wp:inline distT="0" distB="0" distL="0" distR="0">
            <wp:extent cx="3721100" cy="401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3721100" cy="401320"/>
                    </a:xfrm>
                    <a:prstGeom prst="rect">
                      <a:avLst/>
                    </a:prstGeom>
                    <a:noFill/>
                    <a:ln>
                      <a:noFill/>
                    </a:ln>
                  </pic:spPr>
                </pic:pic>
              </a:graphicData>
            </a:graphic>
          </wp:inline>
        </w:drawing>
      </w:r>
      <w:r>
        <w:rPr>
          <w:sz w:val="20"/>
        </w:rPr>
        <w:t xml:space="preserve">, (2.3)</w:t>
      </w:r>
    </w:p>
    <w:p>
      <w:pPr>
        <w:pStyle w:val="0"/>
        <w:ind w:firstLine="540"/>
        <w:jc w:val="both"/>
      </w:pPr>
      <w:r>
        <w:rPr>
          <w:sz w:val="20"/>
        </w:rPr>
      </w:r>
    </w:p>
    <w:p>
      <w:pPr>
        <w:pStyle w:val="0"/>
        <w:ind w:firstLine="540"/>
        <w:jc w:val="both"/>
      </w:pPr>
      <w:r>
        <w:rPr>
          <w:sz w:val="20"/>
        </w:rPr>
        <w:t xml:space="preserve">где </w:t>
      </w:r>
      <w:r>
        <w:rPr>
          <w:position w:val="-7"/>
        </w:rPr>
        <w:drawing>
          <wp:inline distT="0" distB="0" distL="0" distR="0">
            <wp:extent cx="285115"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285115" cy="226060"/>
                    </a:xfrm>
                    <a:prstGeom prst="rect">
                      <a:avLst/>
                    </a:prstGeom>
                    <a:noFill/>
                    <a:ln>
                      <a:noFill/>
                    </a:ln>
                  </pic:spPr>
                </pic:pic>
              </a:graphicData>
            </a:graphic>
          </wp:inline>
        </w:drawing>
      </w:r>
      <w:r>
        <w:rPr>
          <w:sz w:val="20"/>
        </w:rPr>
        <w:t xml:space="preserve"> - количество суток, в течение которых снижается подача газа;</w:t>
      </w:r>
    </w:p>
    <w:p>
      <w:pPr>
        <w:pStyle w:val="0"/>
        <w:spacing w:before="200" w:line-rule="auto"/>
        <w:ind w:firstLine="540"/>
        <w:jc w:val="both"/>
      </w:pPr>
      <w:r>
        <w:rPr>
          <w:position w:val="-7"/>
        </w:rPr>
        <w:drawing>
          <wp:inline distT="0" distB="0" distL="0" distR="0">
            <wp:extent cx="285115"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 cy="226060"/>
                    </a:xfrm>
                    <a:prstGeom prst="rect">
                      <a:avLst/>
                    </a:prstGeom>
                    <a:noFill/>
                    <a:ln>
                      <a:noFill/>
                    </a:ln>
                  </pic:spPr>
                </pic:pic>
              </a:graphicData>
            </a:graphic>
          </wp:inline>
        </w:drawing>
      </w:r>
      <w:r>
        <w:rPr>
          <w:sz w:val="20"/>
        </w:rPr>
        <w:t xml:space="preserve"> - доля суточного расхода топлива, подлежащего замещению;</w:t>
      </w:r>
    </w:p>
    <w:p>
      <w:pPr>
        <w:pStyle w:val="0"/>
        <w:spacing w:before="200" w:line-rule="auto"/>
        <w:ind w:firstLine="540"/>
        <w:jc w:val="both"/>
      </w:pPr>
      <w:r>
        <w:rPr>
          <w:position w:val="-7"/>
        </w:rPr>
        <w:drawing>
          <wp:inline distT="0" distB="0" distL="0" distR="0">
            <wp:extent cx="307975"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307975" cy="226060"/>
                    </a:xfrm>
                    <a:prstGeom prst="rect">
                      <a:avLst/>
                    </a:prstGeom>
                    <a:noFill/>
                    <a:ln>
                      <a:noFill/>
                    </a:ln>
                  </pic:spPr>
                </pic:pic>
              </a:graphicData>
            </a:graphic>
          </wp:inline>
        </w:drawing>
      </w:r>
      <w:r>
        <w:rPr>
          <w:sz w:val="20"/>
        </w:rPr>
        <w:t xml:space="preserve"> - коэффициент отклонения фактических показателей снижения подачи газа;</w:t>
      </w:r>
    </w:p>
    <w:p>
      <w:pPr>
        <w:pStyle w:val="0"/>
        <w:spacing w:before="200" w:line-rule="auto"/>
        <w:ind w:firstLine="540"/>
        <w:jc w:val="both"/>
      </w:pPr>
      <w:r>
        <w:rPr>
          <w:position w:val="-7"/>
        </w:rPr>
        <w:drawing>
          <wp:inline distT="0" distB="0" distL="0" distR="0">
            <wp:extent cx="306705"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306705" cy="226060"/>
                    </a:xfrm>
                    <a:prstGeom prst="rect">
                      <a:avLst/>
                    </a:prstGeom>
                    <a:noFill/>
                    <a:ln>
                      <a:noFill/>
                    </a:ln>
                  </pic:spPr>
                </pic:pic>
              </a:graphicData>
            </a:graphic>
          </wp:inline>
        </w:drawing>
      </w:r>
      <w:r>
        <w:rPr>
          <w:sz w:val="20"/>
        </w:rPr>
        <w:t xml:space="preserve"> - соотношение теплотворной способности резервного топлива и газа.</w:t>
      </w:r>
    </w:p>
    <w:p>
      <w:pPr>
        <w:pStyle w:val="0"/>
        <w:spacing w:before="200" w:line-rule="auto"/>
        <w:ind w:firstLine="540"/>
        <w:jc w:val="both"/>
      </w:pPr>
      <w:r>
        <w:rPr>
          <w:sz w:val="20"/>
        </w:rPr>
        <w:t xml:space="preserve">23. НЭЗТ для организаций, топливо для которых завозится сезонно (до начала отопительного сезона), определяется по общему плановому расходу топлива на весь отопительный период по общей его длительности.</w:t>
      </w:r>
    </w:p>
    <w:p>
      <w:pPr>
        <w:pStyle w:val="0"/>
        <w:spacing w:before="200" w:line-rule="auto"/>
        <w:ind w:firstLine="540"/>
        <w:jc w:val="both"/>
      </w:pPr>
      <w:r>
        <w:rPr>
          <w:sz w:val="20"/>
        </w:rPr>
        <w:t xml:space="preserve">Расчет производится по формуле 2.4.</w:t>
      </w:r>
    </w:p>
    <w:p>
      <w:pPr>
        <w:pStyle w:val="0"/>
        <w:ind w:firstLine="540"/>
        <w:jc w:val="both"/>
      </w:pPr>
      <w:r>
        <w:rPr>
          <w:sz w:val="20"/>
        </w:rPr>
      </w:r>
    </w:p>
    <w:p>
      <w:pPr>
        <w:pStyle w:val="0"/>
        <w:ind w:firstLine="540"/>
        <w:jc w:val="both"/>
      </w:pPr>
      <w:r>
        <w:rPr>
          <w:position w:val="-21"/>
        </w:rPr>
        <w:drawing>
          <wp:inline distT="0" distB="0" distL="0" distR="0">
            <wp:extent cx="2514600" cy="401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2514600" cy="401320"/>
                    </a:xfrm>
                    <a:prstGeom prst="rect">
                      <a:avLst/>
                    </a:prstGeom>
                    <a:noFill/>
                    <a:ln>
                      <a:noFill/>
                    </a:ln>
                  </pic:spPr>
                </pic:pic>
              </a:graphicData>
            </a:graphic>
          </wp:inline>
        </w:drawing>
      </w:r>
      <w:r>
        <w:rPr>
          <w:sz w:val="20"/>
        </w:rPr>
        <w:t xml:space="preserve">, (2.4)</w:t>
      </w:r>
    </w:p>
    <w:p>
      <w:pPr>
        <w:pStyle w:val="0"/>
        <w:ind w:firstLine="540"/>
        <w:jc w:val="both"/>
      </w:pPr>
      <w:r>
        <w:rPr>
          <w:sz w:val="20"/>
        </w:rPr>
      </w:r>
    </w:p>
    <w:p>
      <w:pPr>
        <w:pStyle w:val="0"/>
        <w:ind w:firstLine="540"/>
        <w:jc w:val="both"/>
      </w:pPr>
      <w:r>
        <w:rPr>
          <w:sz w:val="20"/>
        </w:rPr>
        <w:t xml:space="preserve">где </w:t>
      </w:r>
      <w:r>
        <w:rPr>
          <w:position w:val="-9"/>
        </w:rPr>
        <w:drawing>
          <wp:inline distT="0" distB="0" distL="0" distR="0">
            <wp:extent cx="241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sz w:val="20"/>
        </w:rPr>
        <w:t xml:space="preserve"> - среднесуточное значение отпуска тепловой энергии в тепловую сеть в течение отопительного периода, Гкал/сут.;</w:t>
      </w:r>
    </w:p>
    <w:p>
      <w:pPr>
        <w:pStyle w:val="0"/>
        <w:spacing w:before="200" w:line-rule="auto"/>
        <w:ind w:firstLine="540"/>
        <w:jc w:val="both"/>
      </w:pPr>
      <w:r>
        <w:rPr>
          <w:position w:val="-9"/>
        </w:rPr>
        <w:drawing>
          <wp:inline distT="0" distB="0" distL="0" distR="0">
            <wp:extent cx="2565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256540" cy="241300"/>
                    </a:xfrm>
                    <a:prstGeom prst="rect">
                      <a:avLst/>
                    </a:prstGeom>
                    <a:noFill/>
                    <a:ln>
                      <a:noFill/>
                    </a:ln>
                  </pic:spPr>
                </pic:pic>
              </a:graphicData>
            </a:graphic>
          </wp:inline>
        </w:drawing>
      </w:r>
      <w:r>
        <w:rPr>
          <w:sz w:val="20"/>
        </w:rPr>
        <w:t xml:space="preserve"> - средневзвешенный норматив удельного расхода топлива за отопительный период, т.у.т./Гкал;</w:t>
      </w:r>
    </w:p>
    <w:p>
      <w:pPr>
        <w:pStyle w:val="0"/>
        <w:spacing w:before="200" w:line-rule="auto"/>
        <w:ind w:firstLine="540"/>
        <w:jc w:val="both"/>
      </w:pPr>
      <w:r>
        <w:rPr>
          <w:sz w:val="20"/>
        </w:rPr>
        <w:t xml:space="preserve">T - длительность отопительного периода, сут.</w:t>
      </w:r>
    </w:p>
    <w:p>
      <w:pPr>
        <w:pStyle w:val="0"/>
        <w:spacing w:before="200" w:line-rule="auto"/>
        <w:ind w:firstLine="540"/>
        <w:jc w:val="both"/>
      </w:pPr>
      <w:r>
        <w:rPr>
          <w:sz w:val="20"/>
        </w:rPr>
        <w:t xml:space="preserve">ННЗТ для организаций, топливо для которых завозится сезонно, не рассчитывается.</w:t>
      </w:r>
    </w:p>
    <w:p>
      <w:pPr>
        <w:pStyle w:val="0"/>
        <w:spacing w:before="200" w:line-rule="auto"/>
        <w:ind w:firstLine="540"/>
        <w:jc w:val="both"/>
      </w:pPr>
      <w:r>
        <w:rPr>
          <w:sz w:val="20"/>
        </w:rPr>
        <w:t xml:space="preserve">24. Основные исходные данные и результаты расчетов нормативов создания запасов топлива рекомендуется оформлять согласно </w:t>
      </w:r>
      <w:hyperlink w:history="0" w:anchor="P163" w:tooltip="Основные исходные данные и результаты расчета">
        <w:r>
          <w:rPr>
            <w:sz w:val="20"/>
            <w:color w:val="0000ff"/>
          </w:rPr>
          <w:t xml:space="preserve">приложению N 1</w:t>
        </w:r>
      </w:hyperlink>
      <w:r>
        <w:rPr>
          <w:sz w:val="20"/>
        </w:rPr>
        <w:t xml:space="preserve"> к настоящему Порядку.</w:t>
      </w:r>
    </w:p>
    <w:p>
      <w:pPr>
        <w:pStyle w:val="0"/>
        <w:spacing w:before="200" w:line-rule="auto"/>
        <w:ind w:firstLine="540"/>
        <w:jc w:val="both"/>
      </w:pPr>
      <w:r>
        <w:rPr>
          <w:sz w:val="20"/>
        </w:rPr>
        <w:t xml:space="preserve">25. По организациям, у которых производство и передача тепловой энергии не является основными видами деятельности, в состав ОНЗТ включаются:</w:t>
      </w:r>
    </w:p>
    <w:p>
      <w:pPr>
        <w:pStyle w:val="0"/>
        <w:spacing w:before="200" w:line-rule="auto"/>
        <w:ind w:firstLine="540"/>
        <w:jc w:val="both"/>
      </w:pPr>
      <w:r>
        <w:rPr>
          <w:sz w:val="20"/>
        </w:rPr>
        <w:t xml:space="preserve">ННЗТ, рассчитываемый по общей присоединенной к источнику тепловой нагрузке;</w:t>
      </w:r>
    </w:p>
    <w:p>
      <w:pPr>
        <w:pStyle w:val="0"/>
        <w:spacing w:before="200" w:line-rule="auto"/>
        <w:ind w:firstLine="540"/>
        <w:jc w:val="both"/>
      </w:pPr>
      <w:r>
        <w:rPr>
          <w:sz w:val="20"/>
        </w:rPr>
        <w:t xml:space="preserve">НЭЗТ, определяемый по присоединенной тепловой нагрузке внешних потребителей тепловой энергии.</w:t>
      </w:r>
    </w:p>
    <w:p>
      <w:pPr>
        <w:pStyle w:val="0"/>
        <w:spacing w:before="200" w:line-rule="auto"/>
        <w:ind w:firstLine="540"/>
        <w:jc w:val="both"/>
      </w:pPr>
      <w:r>
        <w:rPr>
          <w:sz w:val="20"/>
        </w:rPr>
        <w:t xml:space="preserve">26. Расчеты нормативов создания ОНЗТ отопительных (производственно-отопительных) котельных рекомендуется оформлять по форме согласно </w:t>
      </w:r>
      <w:hyperlink w:history="0" w:anchor="P231" w:tooltip="                          Общий нормативный запас">
        <w:r>
          <w:rPr>
            <w:sz w:val="20"/>
            <w:color w:val="0000ff"/>
          </w:rPr>
          <w:t xml:space="preserve">приложению N 2</w:t>
        </w:r>
      </w:hyperlink>
      <w:r>
        <w:rPr>
          <w:sz w:val="20"/>
        </w:rPr>
        <w:t xml:space="preserve"> к настоящему Порядку.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sz w:val="20"/>
        </w:rPr>
      </w:r>
    </w:p>
    <w:p>
      <w:pPr>
        <w:pStyle w:val="0"/>
        <w:outlineLvl w:val="1"/>
        <w:jc w:val="right"/>
      </w:pPr>
      <w:r>
        <w:rPr>
          <w:sz w:val="20"/>
        </w:rPr>
        <w:t xml:space="preserve">Приложение N 1</w:t>
      </w:r>
    </w:p>
    <w:p>
      <w:pPr>
        <w:pStyle w:val="0"/>
        <w:jc w:val="right"/>
      </w:pPr>
      <w:r>
        <w:rPr>
          <w:sz w:val="20"/>
        </w:rPr>
        <w:t xml:space="preserve">к Порядку определения</w:t>
      </w:r>
    </w:p>
    <w:p>
      <w:pPr>
        <w:pStyle w:val="0"/>
        <w:jc w:val="right"/>
      </w:pPr>
      <w:r>
        <w:rPr>
          <w:sz w:val="20"/>
        </w:rPr>
        <w:t xml:space="preserve">нормативов запасов топлива</w:t>
      </w:r>
    </w:p>
    <w:p>
      <w:pPr>
        <w:pStyle w:val="0"/>
        <w:jc w:val="right"/>
      </w:pPr>
      <w:r>
        <w:rPr>
          <w:sz w:val="20"/>
        </w:rPr>
        <w:t xml:space="preserve">на источниках тепловой энергии</w:t>
      </w:r>
    </w:p>
    <w:p>
      <w:pPr>
        <w:pStyle w:val="0"/>
        <w:jc w:val="right"/>
      </w:pPr>
      <w:r>
        <w:rPr>
          <w:sz w:val="20"/>
        </w:rPr>
        <w:t xml:space="preserve">(за исключением источников</w:t>
      </w:r>
    </w:p>
    <w:p>
      <w:pPr>
        <w:pStyle w:val="0"/>
        <w:jc w:val="right"/>
      </w:pPr>
      <w:r>
        <w:rPr>
          <w:sz w:val="20"/>
        </w:rPr>
        <w:t xml:space="preserve">тепловой энергии, функционирующих</w:t>
      </w:r>
    </w:p>
    <w:p>
      <w:pPr>
        <w:pStyle w:val="0"/>
        <w:jc w:val="right"/>
      </w:pPr>
      <w:r>
        <w:rPr>
          <w:sz w:val="20"/>
        </w:rPr>
        <w:t xml:space="preserve">в режиме комбинированной выработки</w:t>
      </w:r>
    </w:p>
    <w:p>
      <w:pPr>
        <w:pStyle w:val="0"/>
        <w:jc w:val="right"/>
      </w:pPr>
      <w:r>
        <w:rPr>
          <w:sz w:val="20"/>
        </w:rPr>
        <w:t xml:space="preserve">электрической и тепловой энергии)</w:t>
      </w:r>
    </w:p>
    <w:p>
      <w:pPr>
        <w:pStyle w:val="0"/>
        <w:jc w:val="right"/>
      </w:pPr>
      <w:r>
        <w:rPr>
          <w:sz w:val="20"/>
        </w:rPr>
      </w:r>
    </w:p>
    <w:bookmarkStart w:id="163" w:name="P163"/>
    <w:bookmarkEnd w:id="163"/>
    <w:p>
      <w:pPr>
        <w:pStyle w:val="0"/>
        <w:outlineLvl w:val="2"/>
        <w:jc w:val="center"/>
      </w:pPr>
      <w:r>
        <w:rPr>
          <w:sz w:val="20"/>
        </w:rPr>
        <w:t xml:space="preserve">Основные исходные данные и результаты расчета</w:t>
      </w:r>
    </w:p>
    <w:p>
      <w:pPr>
        <w:pStyle w:val="0"/>
        <w:jc w:val="center"/>
      </w:pPr>
      <w:r>
        <w:rPr>
          <w:sz w:val="20"/>
        </w:rPr>
        <w:t xml:space="preserve">создания нормативного неснижаемого запаса топлива (ННЗТ)</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417"/>
        <w:gridCol w:w="1417"/>
        <w:gridCol w:w="1417"/>
        <w:gridCol w:w="1701"/>
        <w:gridCol w:w="1417"/>
        <w:gridCol w:w="1134"/>
      </w:tblGrid>
      <w:tr>
        <w:tc>
          <w:tcPr>
            <w:tcW w:w="1134" w:type="dxa"/>
          </w:tcPr>
          <w:p>
            <w:pPr>
              <w:pStyle w:val="0"/>
              <w:jc w:val="center"/>
            </w:pPr>
            <w:r>
              <w:rPr>
                <w:sz w:val="20"/>
              </w:rPr>
              <w:t xml:space="preserve">Вид топлива</w:t>
            </w:r>
          </w:p>
        </w:tc>
        <w:tc>
          <w:tcPr>
            <w:tcW w:w="1417" w:type="dxa"/>
          </w:tcPr>
          <w:p>
            <w:pPr>
              <w:pStyle w:val="0"/>
              <w:jc w:val="center"/>
            </w:pPr>
            <w:r>
              <w:rPr>
                <w:sz w:val="20"/>
              </w:rPr>
              <w:t xml:space="preserve">Среднесуточная выработка теплоэнергии, Гкал/сут.</w:t>
            </w:r>
          </w:p>
        </w:tc>
        <w:tc>
          <w:tcPr>
            <w:tcW w:w="1417" w:type="dxa"/>
          </w:tcPr>
          <w:p>
            <w:pPr>
              <w:pStyle w:val="0"/>
              <w:jc w:val="center"/>
            </w:pPr>
            <w:r>
              <w:rPr>
                <w:sz w:val="20"/>
              </w:rPr>
              <w:t xml:space="preserve">Норматив удельного расхода топлива, т.у.т./ Гкал</w:t>
            </w:r>
          </w:p>
        </w:tc>
        <w:tc>
          <w:tcPr>
            <w:tcW w:w="1417" w:type="dxa"/>
          </w:tcPr>
          <w:p>
            <w:pPr>
              <w:pStyle w:val="0"/>
              <w:jc w:val="center"/>
            </w:pPr>
            <w:r>
              <w:rPr>
                <w:sz w:val="20"/>
              </w:rPr>
              <w:t xml:space="preserve">Среднесуточный расход топлива, т</w:t>
            </w:r>
          </w:p>
        </w:tc>
        <w:tc>
          <w:tcPr>
            <w:tcW w:w="1701" w:type="dxa"/>
          </w:tcPr>
          <w:p>
            <w:pPr>
              <w:pStyle w:val="0"/>
              <w:jc w:val="center"/>
            </w:pPr>
            <w:r>
              <w:rPr>
                <w:sz w:val="20"/>
              </w:rPr>
              <w:t xml:space="preserve">Коэффициент перевода натурального топлива в условное топливо</w:t>
            </w:r>
          </w:p>
        </w:tc>
        <w:tc>
          <w:tcPr>
            <w:tcW w:w="1417" w:type="dxa"/>
          </w:tcPr>
          <w:p>
            <w:pPr>
              <w:pStyle w:val="0"/>
              <w:jc w:val="center"/>
            </w:pPr>
            <w:r>
              <w:rPr>
                <w:sz w:val="20"/>
              </w:rPr>
              <w:t xml:space="preserve">Количество суток для расчета запаса</w:t>
            </w:r>
          </w:p>
        </w:tc>
        <w:tc>
          <w:tcPr>
            <w:tcW w:w="1134" w:type="dxa"/>
          </w:tcPr>
          <w:p>
            <w:pPr>
              <w:pStyle w:val="0"/>
              <w:jc w:val="center"/>
            </w:pPr>
            <w:r>
              <w:rPr>
                <w:sz w:val="20"/>
              </w:rPr>
              <w:t xml:space="preserve">ННЗТ, тыс. т</w:t>
            </w:r>
          </w:p>
        </w:tc>
      </w:tr>
      <w:tr>
        <w:tc>
          <w:tcPr>
            <w:tcW w:w="1134" w:type="dxa"/>
          </w:tcPr>
          <w:p>
            <w:pPr>
              <w:pStyle w:val="0"/>
              <w:jc w:val="center"/>
            </w:pPr>
            <w:r>
              <w:rPr>
                <w:sz w:val="20"/>
              </w:rPr>
              <w:t xml:space="preserve">1</w:t>
            </w:r>
          </w:p>
        </w:tc>
        <w:tc>
          <w:tcPr>
            <w:tcW w:w="1417" w:type="dxa"/>
          </w:tcPr>
          <w:p>
            <w:pPr>
              <w:pStyle w:val="0"/>
              <w:jc w:val="center"/>
            </w:pPr>
            <w:r>
              <w:rPr>
                <w:sz w:val="20"/>
              </w:rPr>
              <w:t xml:space="preserve">2</w:t>
            </w:r>
          </w:p>
        </w:tc>
        <w:tc>
          <w:tcPr>
            <w:tcW w:w="1417" w:type="dxa"/>
          </w:tcPr>
          <w:p>
            <w:pPr>
              <w:pStyle w:val="0"/>
              <w:jc w:val="center"/>
            </w:pPr>
            <w:r>
              <w:rPr>
                <w:sz w:val="20"/>
              </w:rPr>
              <w:t xml:space="preserve">3</w:t>
            </w:r>
          </w:p>
        </w:tc>
        <w:tc>
          <w:tcPr>
            <w:tcW w:w="1417" w:type="dxa"/>
          </w:tcPr>
          <w:p>
            <w:pPr>
              <w:pStyle w:val="0"/>
              <w:jc w:val="center"/>
            </w:pPr>
            <w:r>
              <w:rPr>
                <w:sz w:val="20"/>
              </w:rPr>
              <w:t xml:space="preserve">4</w:t>
            </w:r>
          </w:p>
        </w:tc>
        <w:tc>
          <w:tcPr>
            <w:tcW w:w="1701" w:type="dxa"/>
          </w:tcPr>
          <w:p>
            <w:pPr>
              <w:pStyle w:val="0"/>
              <w:jc w:val="center"/>
            </w:pPr>
            <w:r>
              <w:rPr>
                <w:sz w:val="20"/>
              </w:rPr>
              <w:t xml:space="preserve">5</w:t>
            </w:r>
          </w:p>
        </w:tc>
        <w:tc>
          <w:tcPr>
            <w:tcW w:w="1417" w:type="dxa"/>
          </w:tcPr>
          <w:p>
            <w:pPr>
              <w:pStyle w:val="0"/>
              <w:jc w:val="center"/>
            </w:pPr>
            <w:r>
              <w:rPr>
                <w:sz w:val="20"/>
              </w:rPr>
              <w:t xml:space="preserve">6</w:t>
            </w:r>
          </w:p>
        </w:tc>
        <w:tc>
          <w:tcPr>
            <w:tcW w:w="1134" w:type="dxa"/>
          </w:tcPr>
          <w:p>
            <w:pPr>
              <w:pStyle w:val="0"/>
              <w:jc w:val="center"/>
            </w:pPr>
            <w:r>
              <w:rPr>
                <w:sz w:val="20"/>
              </w:rPr>
              <w:t xml:space="preserve">7</w:t>
            </w:r>
          </w:p>
        </w:tc>
      </w:tr>
      <w:tr>
        <w:tc>
          <w:tcPr>
            <w:tcW w:w="1134" w:type="dxa"/>
          </w:tcPr>
          <w:p>
            <w:pPr>
              <w:pStyle w:val="0"/>
              <w:jc w:val="center"/>
            </w:pPr>
            <w:r>
              <w:rPr>
                <w:sz w:val="20"/>
              </w:rPr>
            </w:r>
          </w:p>
        </w:tc>
        <w:tc>
          <w:tcPr>
            <w:tcW w:w="1417" w:type="dxa"/>
          </w:tcPr>
          <w:p>
            <w:pPr>
              <w:pStyle w:val="0"/>
              <w:jc w:val="center"/>
            </w:pPr>
            <w:r>
              <w:rPr>
                <w:sz w:val="20"/>
              </w:rPr>
            </w:r>
          </w:p>
        </w:tc>
        <w:tc>
          <w:tcPr>
            <w:tcW w:w="1417" w:type="dxa"/>
          </w:tcPr>
          <w:p>
            <w:pPr>
              <w:pStyle w:val="0"/>
              <w:jc w:val="center"/>
            </w:pPr>
            <w:r>
              <w:rPr>
                <w:sz w:val="20"/>
              </w:rPr>
            </w:r>
          </w:p>
        </w:tc>
        <w:tc>
          <w:tcPr>
            <w:tcW w:w="1417" w:type="dxa"/>
          </w:tcPr>
          <w:p>
            <w:pPr>
              <w:pStyle w:val="0"/>
              <w:jc w:val="center"/>
            </w:pPr>
            <w:r>
              <w:rPr>
                <w:sz w:val="20"/>
              </w:rPr>
            </w:r>
          </w:p>
        </w:tc>
        <w:tc>
          <w:tcPr>
            <w:tcW w:w="1701" w:type="dxa"/>
          </w:tcPr>
          <w:p>
            <w:pPr>
              <w:pStyle w:val="0"/>
              <w:jc w:val="center"/>
            </w:pPr>
            <w:r>
              <w:rPr>
                <w:sz w:val="20"/>
              </w:rPr>
            </w:r>
          </w:p>
        </w:tc>
        <w:tc>
          <w:tcPr>
            <w:tcW w:w="1417" w:type="dxa"/>
          </w:tcPr>
          <w:p>
            <w:pPr>
              <w:pStyle w:val="0"/>
              <w:jc w:val="center"/>
            </w:pPr>
            <w:r>
              <w:rPr>
                <w:sz w:val="20"/>
              </w:rPr>
            </w:r>
          </w:p>
        </w:tc>
        <w:tc>
          <w:tcPr>
            <w:tcW w:w="1134" w:type="dxa"/>
          </w:tcPr>
          <w:p>
            <w:pPr>
              <w:pStyle w:val="0"/>
              <w:jc w:val="center"/>
            </w:pPr>
            <w:r>
              <w:rPr>
                <w:sz w:val="20"/>
              </w:rPr>
            </w:r>
          </w:p>
        </w:tc>
      </w:tr>
    </w:tbl>
    <w:p>
      <w:pPr>
        <w:pStyle w:val="0"/>
        <w:ind w:firstLine="540"/>
        <w:jc w:val="both"/>
      </w:pPr>
      <w:r>
        <w:rPr>
          <w:sz w:val="20"/>
        </w:rPr>
      </w:r>
    </w:p>
    <w:p>
      <w:pPr>
        <w:pStyle w:val="0"/>
        <w:outlineLvl w:val="2"/>
        <w:jc w:val="center"/>
      </w:pPr>
      <w:r>
        <w:rPr>
          <w:sz w:val="20"/>
        </w:rPr>
        <w:t xml:space="preserve">Основные исходные данные и результаты расчета создания</w:t>
      </w:r>
    </w:p>
    <w:p>
      <w:pPr>
        <w:pStyle w:val="0"/>
        <w:jc w:val="center"/>
      </w:pPr>
      <w:r>
        <w:rPr>
          <w:sz w:val="20"/>
        </w:rPr>
        <w:t xml:space="preserve">нормативного эксплуатационного запаса топлива (НЭЗТ)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1417"/>
        <w:gridCol w:w="1417"/>
        <w:gridCol w:w="1417"/>
        <w:gridCol w:w="1701"/>
        <w:gridCol w:w="1417"/>
        <w:gridCol w:w="1134"/>
      </w:tblGrid>
      <w:tr>
        <w:tc>
          <w:tcPr>
            <w:tcW w:w="1134" w:type="dxa"/>
          </w:tcPr>
          <w:p>
            <w:pPr>
              <w:pStyle w:val="0"/>
              <w:jc w:val="center"/>
            </w:pPr>
            <w:r>
              <w:rPr>
                <w:sz w:val="20"/>
              </w:rPr>
              <w:t xml:space="preserve">Вид топлива</w:t>
            </w:r>
          </w:p>
        </w:tc>
        <w:tc>
          <w:tcPr>
            <w:tcW w:w="1417" w:type="dxa"/>
          </w:tcPr>
          <w:p>
            <w:pPr>
              <w:pStyle w:val="0"/>
              <w:jc w:val="center"/>
            </w:pPr>
            <w:r>
              <w:rPr>
                <w:sz w:val="20"/>
              </w:rPr>
              <w:t xml:space="preserve">Среднесуточная выработка теплоэнергии, Гкал/сут.</w:t>
            </w:r>
          </w:p>
        </w:tc>
        <w:tc>
          <w:tcPr>
            <w:tcW w:w="1417" w:type="dxa"/>
          </w:tcPr>
          <w:p>
            <w:pPr>
              <w:pStyle w:val="0"/>
              <w:jc w:val="center"/>
            </w:pPr>
            <w:r>
              <w:rPr>
                <w:sz w:val="20"/>
              </w:rPr>
              <w:t xml:space="preserve">Норматив удельного расхода топлива, т.у.т./ Гкал</w:t>
            </w:r>
          </w:p>
        </w:tc>
        <w:tc>
          <w:tcPr>
            <w:tcW w:w="1417" w:type="dxa"/>
          </w:tcPr>
          <w:p>
            <w:pPr>
              <w:pStyle w:val="0"/>
              <w:jc w:val="center"/>
            </w:pPr>
            <w:r>
              <w:rPr>
                <w:sz w:val="20"/>
              </w:rPr>
              <w:t xml:space="preserve">Среднесуточный расход топлива, т</w:t>
            </w:r>
          </w:p>
        </w:tc>
        <w:tc>
          <w:tcPr>
            <w:tcW w:w="1701" w:type="dxa"/>
          </w:tcPr>
          <w:p>
            <w:pPr>
              <w:pStyle w:val="0"/>
              <w:jc w:val="center"/>
            </w:pPr>
            <w:r>
              <w:rPr>
                <w:sz w:val="20"/>
              </w:rPr>
              <w:t xml:space="preserve">Коэффициент перевода натурального топлива в условное топливо</w:t>
            </w:r>
          </w:p>
        </w:tc>
        <w:tc>
          <w:tcPr>
            <w:tcW w:w="1417" w:type="dxa"/>
          </w:tcPr>
          <w:p>
            <w:pPr>
              <w:pStyle w:val="0"/>
              <w:jc w:val="center"/>
            </w:pPr>
            <w:r>
              <w:rPr>
                <w:sz w:val="20"/>
              </w:rPr>
              <w:t xml:space="preserve">Количество суток для расчета запаса</w:t>
            </w:r>
          </w:p>
        </w:tc>
        <w:tc>
          <w:tcPr>
            <w:tcW w:w="1134" w:type="dxa"/>
          </w:tcPr>
          <w:p>
            <w:pPr>
              <w:pStyle w:val="0"/>
              <w:jc w:val="center"/>
            </w:pPr>
            <w:r>
              <w:rPr>
                <w:sz w:val="20"/>
              </w:rPr>
              <w:t xml:space="preserve">НЭЗТ, тыс. т</w:t>
            </w:r>
          </w:p>
        </w:tc>
      </w:tr>
      <w:tr>
        <w:tc>
          <w:tcPr>
            <w:tcW w:w="1134" w:type="dxa"/>
          </w:tcPr>
          <w:p>
            <w:pPr>
              <w:pStyle w:val="0"/>
              <w:jc w:val="center"/>
            </w:pPr>
            <w:r>
              <w:rPr>
                <w:sz w:val="20"/>
              </w:rPr>
              <w:t xml:space="preserve">1</w:t>
            </w:r>
          </w:p>
        </w:tc>
        <w:tc>
          <w:tcPr>
            <w:tcW w:w="1417" w:type="dxa"/>
          </w:tcPr>
          <w:p>
            <w:pPr>
              <w:pStyle w:val="0"/>
              <w:jc w:val="center"/>
            </w:pPr>
            <w:r>
              <w:rPr>
                <w:sz w:val="20"/>
              </w:rPr>
              <w:t xml:space="preserve">2</w:t>
            </w:r>
          </w:p>
        </w:tc>
        <w:tc>
          <w:tcPr>
            <w:tcW w:w="1417" w:type="dxa"/>
          </w:tcPr>
          <w:p>
            <w:pPr>
              <w:pStyle w:val="0"/>
              <w:jc w:val="center"/>
            </w:pPr>
            <w:r>
              <w:rPr>
                <w:sz w:val="20"/>
              </w:rPr>
              <w:t xml:space="preserve">3</w:t>
            </w:r>
          </w:p>
        </w:tc>
        <w:tc>
          <w:tcPr>
            <w:tcW w:w="1417" w:type="dxa"/>
          </w:tcPr>
          <w:p>
            <w:pPr>
              <w:pStyle w:val="0"/>
              <w:jc w:val="center"/>
            </w:pPr>
            <w:r>
              <w:rPr>
                <w:sz w:val="20"/>
              </w:rPr>
            </w:r>
          </w:p>
        </w:tc>
        <w:tc>
          <w:tcPr>
            <w:tcW w:w="1701" w:type="dxa"/>
          </w:tcPr>
          <w:p>
            <w:pPr>
              <w:pStyle w:val="0"/>
              <w:jc w:val="center"/>
            </w:pPr>
            <w:r>
              <w:rPr>
                <w:sz w:val="20"/>
              </w:rPr>
              <w:t xml:space="preserve">4</w:t>
            </w:r>
          </w:p>
        </w:tc>
        <w:tc>
          <w:tcPr>
            <w:tcW w:w="1417" w:type="dxa"/>
          </w:tcPr>
          <w:p>
            <w:pPr>
              <w:pStyle w:val="0"/>
              <w:jc w:val="center"/>
            </w:pPr>
            <w:r>
              <w:rPr>
                <w:sz w:val="20"/>
              </w:rPr>
              <w:t xml:space="preserve">5</w:t>
            </w:r>
          </w:p>
        </w:tc>
        <w:tc>
          <w:tcPr>
            <w:tcW w:w="1134" w:type="dxa"/>
          </w:tcPr>
          <w:p>
            <w:pPr>
              <w:pStyle w:val="0"/>
              <w:jc w:val="center"/>
            </w:pPr>
            <w:r>
              <w:rPr>
                <w:sz w:val="20"/>
              </w:rPr>
              <w:t xml:space="preserve">6</w:t>
            </w:r>
          </w:p>
        </w:tc>
      </w:tr>
      <w:tr>
        <w:tc>
          <w:tcPr>
            <w:tcW w:w="1134" w:type="dxa"/>
          </w:tcPr>
          <w:p>
            <w:pPr>
              <w:pStyle w:val="0"/>
              <w:jc w:val="center"/>
            </w:pPr>
            <w:r>
              <w:rPr>
                <w:sz w:val="20"/>
              </w:rPr>
            </w:r>
          </w:p>
        </w:tc>
        <w:tc>
          <w:tcPr>
            <w:tcW w:w="1417" w:type="dxa"/>
          </w:tcPr>
          <w:p>
            <w:pPr>
              <w:pStyle w:val="0"/>
              <w:jc w:val="center"/>
            </w:pPr>
            <w:r>
              <w:rPr>
                <w:sz w:val="20"/>
              </w:rPr>
            </w:r>
          </w:p>
        </w:tc>
        <w:tc>
          <w:tcPr>
            <w:tcW w:w="1417" w:type="dxa"/>
          </w:tcPr>
          <w:p>
            <w:pPr>
              <w:pStyle w:val="0"/>
              <w:jc w:val="center"/>
            </w:pPr>
            <w:r>
              <w:rPr>
                <w:sz w:val="20"/>
              </w:rPr>
            </w:r>
          </w:p>
        </w:tc>
        <w:tc>
          <w:tcPr>
            <w:tcW w:w="1417" w:type="dxa"/>
          </w:tcPr>
          <w:p>
            <w:pPr>
              <w:pStyle w:val="0"/>
              <w:jc w:val="center"/>
            </w:pPr>
            <w:r>
              <w:rPr>
                <w:sz w:val="20"/>
              </w:rPr>
            </w:r>
          </w:p>
        </w:tc>
        <w:tc>
          <w:tcPr>
            <w:tcW w:w="1701" w:type="dxa"/>
          </w:tcPr>
          <w:p>
            <w:pPr>
              <w:pStyle w:val="0"/>
              <w:jc w:val="center"/>
            </w:pPr>
            <w:r>
              <w:rPr>
                <w:sz w:val="20"/>
              </w:rPr>
            </w:r>
          </w:p>
        </w:tc>
        <w:tc>
          <w:tcPr>
            <w:tcW w:w="1417" w:type="dxa"/>
          </w:tcPr>
          <w:p>
            <w:pPr>
              <w:pStyle w:val="0"/>
              <w:jc w:val="center"/>
            </w:pPr>
            <w:r>
              <w:rPr>
                <w:sz w:val="20"/>
              </w:rPr>
            </w:r>
          </w:p>
        </w:tc>
        <w:tc>
          <w:tcPr>
            <w:tcW w:w="1134" w:type="dxa"/>
          </w:tcPr>
          <w:p>
            <w:pPr>
              <w:pStyle w:val="0"/>
              <w:jc w:val="center"/>
            </w:pPr>
            <w:r>
              <w:rPr>
                <w:sz w:val="20"/>
              </w:rPr>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2</w:t>
      </w:r>
    </w:p>
    <w:p>
      <w:pPr>
        <w:pStyle w:val="0"/>
        <w:jc w:val="right"/>
      </w:pPr>
      <w:r>
        <w:rPr>
          <w:sz w:val="20"/>
        </w:rPr>
        <w:t xml:space="preserve">к Порядку определения</w:t>
      </w:r>
    </w:p>
    <w:p>
      <w:pPr>
        <w:pStyle w:val="0"/>
        <w:jc w:val="right"/>
      </w:pPr>
      <w:r>
        <w:rPr>
          <w:sz w:val="20"/>
        </w:rPr>
        <w:t xml:space="preserve">нормативов запасов топлива</w:t>
      </w:r>
    </w:p>
    <w:p>
      <w:pPr>
        <w:pStyle w:val="0"/>
        <w:jc w:val="right"/>
      </w:pPr>
      <w:r>
        <w:rPr>
          <w:sz w:val="20"/>
        </w:rPr>
        <w:t xml:space="preserve">на источниках тепловой энергии</w:t>
      </w:r>
    </w:p>
    <w:p>
      <w:pPr>
        <w:pStyle w:val="0"/>
        <w:jc w:val="right"/>
      </w:pPr>
      <w:r>
        <w:rPr>
          <w:sz w:val="20"/>
        </w:rPr>
        <w:t xml:space="preserve">(за исключением источников</w:t>
      </w:r>
    </w:p>
    <w:p>
      <w:pPr>
        <w:pStyle w:val="0"/>
        <w:jc w:val="right"/>
      </w:pPr>
      <w:r>
        <w:rPr>
          <w:sz w:val="20"/>
        </w:rPr>
        <w:t xml:space="preserve">тепловой энергии, функционирующих</w:t>
      </w:r>
    </w:p>
    <w:p>
      <w:pPr>
        <w:pStyle w:val="0"/>
        <w:jc w:val="right"/>
      </w:pPr>
      <w:r>
        <w:rPr>
          <w:sz w:val="20"/>
        </w:rPr>
        <w:t xml:space="preserve">в режиме комбинированной выработки</w:t>
      </w:r>
    </w:p>
    <w:p>
      <w:pPr>
        <w:pStyle w:val="0"/>
        <w:jc w:val="right"/>
      </w:pPr>
      <w:r>
        <w:rPr>
          <w:sz w:val="20"/>
        </w:rPr>
        <w:t xml:space="preserve">электрической и тепловой энергии)</w:t>
      </w:r>
    </w:p>
    <w:p>
      <w:pPr>
        <w:pStyle w:val="0"/>
        <w:ind w:firstLine="540"/>
        <w:jc w:val="both"/>
      </w:pPr>
      <w:r>
        <w:rPr>
          <w:sz w:val="20"/>
        </w:rPr>
      </w:r>
    </w:p>
    <w:p>
      <w:pPr>
        <w:pStyle w:val="1"/>
        <w:jc w:val="both"/>
      </w:pPr>
      <w:r>
        <w:rPr>
          <w:sz w:val="20"/>
        </w:rPr>
        <w:t xml:space="preserve">                                                         СОГЛАСОВАНО</w:t>
      </w:r>
    </w:p>
    <w:p>
      <w:pPr>
        <w:pStyle w:val="1"/>
        <w:jc w:val="both"/>
      </w:pPr>
      <w:r>
        <w:rPr>
          <w:sz w:val="20"/>
        </w:rPr>
        <w:t xml:space="preserve">                                                     ___________________</w:t>
      </w:r>
    </w:p>
    <w:p>
      <w:pPr>
        <w:pStyle w:val="1"/>
        <w:jc w:val="both"/>
      </w:pPr>
      <w:r>
        <w:rPr>
          <w:sz w:val="20"/>
        </w:rPr>
      </w:r>
    </w:p>
    <w:p>
      <w:pPr>
        <w:pStyle w:val="1"/>
        <w:jc w:val="both"/>
      </w:pPr>
      <w:r>
        <w:rPr>
          <w:sz w:val="20"/>
        </w:rPr>
        <w:t xml:space="preserve">                                                   "__" ___________ 20__ г.</w:t>
      </w:r>
    </w:p>
    <w:p>
      <w:pPr>
        <w:pStyle w:val="1"/>
        <w:jc w:val="both"/>
      </w:pPr>
      <w:r>
        <w:rPr>
          <w:sz w:val="20"/>
        </w:rPr>
      </w:r>
    </w:p>
    <w:bookmarkStart w:id="231" w:name="P231"/>
    <w:bookmarkEnd w:id="231"/>
    <w:p>
      <w:pPr>
        <w:pStyle w:val="1"/>
        <w:jc w:val="both"/>
      </w:pPr>
      <w:r>
        <w:rPr>
          <w:sz w:val="20"/>
        </w:rPr>
        <w:t xml:space="preserve">                          Общий нормативный запас</w:t>
      </w:r>
    </w:p>
    <w:p>
      <w:pPr>
        <w:pStyle w:val="1"/>
        <w:jc w:val="both"/>
      </w:pPr>
      <w:r>
        <w:rPr>
          <w:sz w:val="20"/>
        </w:rPr>
        <w:t xml:space="preserve">           топлива (ОНЗТ) на контрольную дату планируемого года</w:t>
      </w:r>
    </w:p>
    <w:p>
      <w:pPr>
        <w:pStyle w:val="1"/>
        <w:jc w:val="both"/>
      </w:pPr>
      <w:r>
        <w:rPr>
          <w:sz w:val="20"/>
        </w:rPr>
        <w:t xml:space="preserve">           отопительных (производственно-отопительных) котельных</w:t>
      </w:r>
    </w:p>
    <w:p>
      <w:pPr>
        <w:pStyle w:val="1"/>
        <w:jc w:val="both"/>
      </w:pPr>
      <w:r>
        <w:rPr>
          <w:sz w:val="20"/>
        </w:rPr>
        <w:t xml:space="preserve">           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                                на 20__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2835"/>
        <w:gridCol w:w="2551"/>
        <w:gridCol w:w="2551"/>
      </w:tblGrid>
      <w:tr>
        <w:tc>
          <w:tcPr>
            <w:tcW w:w="1701" w:type="dxa"/>
          </w:tcPr>
          <w:p>
            <w:pPr>
              <w:pStyle w:val="0"/>
              <w:jc w:val="center"/>
            </w:pPr>
            <w:r>
              <w:rPr>
                <w:sz w:val="20"/>
              </w:rPr>
              <w:t xml:space="preserve">Вид топлива</w:t>
            </w:r>
          </w:p>
        </w:tc>
        <w:tc>
          <w:tcPr>
            <w:tcW w:w="2835" w:type="dxa"/>
          </w:tcPr>
          <w:p>
            <w:pPr>
              <w:pStyle w:val="0"/>
              <w:jc w:val="center"/>
            </w:pPr>
            <w:r>
              <w:rPr>
                <w:sz w:val="20"/>
              </w:rPr>
              <w:t xml:space="preserve">Норматив общего запаса топлива (ОНЗТ), тыс. т</w:t>
            </w:r>
          </w:p>
        </w:tc>
        <w:tc>
          <w:tcPr>
            <w:gridSpan w:val="2"/>
            <w:tcW w:w="5102" w:type="dxa"/>
          </w:tcPr>
          <w:p>
            <w:pPr>
              <w:pStyle w:val="0"/>
              <w:jc w:val="center"/>
            </w:pPr>
            <w:r>
              <w:rPr>
                <w:sz w:val="20"/>
              </w:rPr>
              <w:t xml:space="preserve">В том числе</w:t>
            </w:r>
          </w:p>
        </w:tc>
      </w:tr>
      <w:tr>
        <w:tc>
          <w:tcPr>
            <w:tcW w:w="1701" w:type="dxa"/>
          </w:tcPr>
          <w:p>
            <w:pPr>
              <w:pStyle w:val="0"/>
              <w:jc w:val="center"/>
            </w:pPr>
            <w:r>
              <w:rPr>
                <w:sz w:val="20"/>
              </w:rPr>
            </w:r>
          </w:p>
        </w:tc>
        <w:tc>
          <w:tcPr>
            <w:tcW w:w="2835" w:type="dxa"/>
          </w:tcPr>
          <w:p>
            <w:pPr>
              <w:pStyle w:val="0"/>
              <w:jc w:val="center"/>
            </w:pPr>
            <w:r>
              <w:rPr>
                <w:sz w:val="20"/>
              </w:rPr>
            </w:r>
          </w:p>
        </w:tc>
        <w:tc>
          <w:tcPr>
            <w:tcW w:w="2551" w:type="dxa"/>
          </w:tcPr>
          <w:p>
            <w:pPr>
              <w:pStyle w:val="0"/>
              <w:jc w:val="center"/>
            </w:pPr>
            <w:r>
              <w:rPr>
                <w:sz w:val="20"/>
              </w:rPr>
              <w:t xml:space="preserve">неснижаемый запас (ННЗТ), тыс. т</w:t>
            </w:r>
          </w:p>
        </w:tc>
        <w:tc>
          <w:tcPr>
            <w:tcW w:w="2551" w:type="dxa"/>
          </w:tcPr>
          <w:p>
            <w:pPr>
              <w:pStyle w:val="0"/>
              <w:jc w:val="center"/>
            </w:pPr>
            <w:r>
              <w:rPr>
                <w:sz w:val="20"/>
              </w:rPr>
              <w:t xml:space="preserve">эксплуатационный запас (НЭЗТ), тыс. т</w:t>
            </w:r>
          </w:p>
        </w:tc>
      </w:tr>
      <w:tr>
        <w:tc>
          <w:tcPr>
            <w:tcW w:w="1701" w:type="dxa"/>
          </w:tcPr>
          <w:p>
            <w:pPr>
              <w:pStyle w:val="0"/>
              <w:jc w:val="center"/>
            </w:pPr>
            <w:r>
              <w:rPr>
                <w:sz w:val="20"/>
              </w:rPr>
              <w:t xml:space="preserve">1</w:t>
            </w:r>
          </w:p>
        </w:tc>
        <w:tc>
          <w:tcPr>
            <w:tcW w:w="2835" w:type="dxa"/>
          </w:tcPr>
          <w:p>
            <w:pPr>
              <w:pStyle w:val="0"/>
              <w:jc w:val="center"/>
            </w:pPr>
            <w:r>
              <w:rPr>
                <w:sz w:val="20"/>
              </w:rPr>
              <w:t xml:space="preserve">2</w:t>
            </w:r>
          </w:p>
        </w:tc>
        <w:tc>
          <w:tcPr>
            <w:tcW w:w="2551" w:type="dxa"/>
          </w:tcPr>
          <w:p>
            <w:pPr>
              <w:pStyle w:val="0"/>
              <w:jc w:val="center"/>
            </w:pPr>
            <w:r>
              <w:rPr>
                <w:sz w:val="20"/>
              </w:rPr>
              <w:t xml:space="preserve">3</w:t>
            </w:r>
          </w:p>
        </w:tc>
        <w:tc>
          <w:tcPr>
            <w:tcW w:w="2551" w:type="dxa"/>
          </w:tcPr>
          <w:p>
            <w:pPr>
              <w:pStyle w:val="0"/>
              <w:jc w:val="center"/>
            </w:pPr>
            <w:r>
              <w:rPr>
                <w:sz w:val="20"/>
              </w:rPr>
              <w:t xml:space="preserve">4</w:t>
            </w:r>
          </w:p>
        </w:tc>
      </w:tr>
      <w:tr>
        <w:tc>
          <w:tcPr>
            <w:tcW w:w="1701" w:type="dxa"/>
          </w:tcPr>
          <w:p>
            <w:pPr>
              <w:pStyle w:val="0"/>
              <w:jc w:val="center"/>
            </w:pPr>
            <w:r>
              <w:rPr>
                <w:sz w:val="20"/>
              </w:rPr>
            </w:r>
          </w:p>
        </w:tc>
        <w:tc>
          <w:tcPr>
            <w:tcW w:w="2835" w:type="dxa"/>
          </w:tcPr>
          <w:p>
            <w:pPr>
              <w:pStyle w:val="0"/>
              <w:jc w:val="center"/>
            </w:pPr>
            <w:r>
              <w:rPr>
                <w:sz w:val="20"/>
              </w:rPr>
            </w:r>
          </w:p>
        </w:tc>
        <w:tc>
          <w:tcPr>
            <w:tcW w:w="2551" w:type="dxa"/>
          </w:tcPr>
          <w:p>
            <w:pPr>
              <w:pStyle w:val="0"/>
              <w:jc w:val="center"/>
            </w:pPr>
            <w:r>
              <w:rPr>
                <w:sz w:val="20"/>
              </w:rPr>
            </w:r>
          </w:p>
        </w:tc>
        <w:tc>
          <w:tcPr>
            <w:tcW w:w="2551" w:type="dxa"/>
          </w:tcPr>
          <w:p>
            <w:pPr>
              <w:pStyle w:val="0"/>
              <w:jc w:val="center"/>
            </w:pPr>
            <w:r>
              <w:rPr>
                <w:sz w:val="20"/>
              </w:rPr>
            </w:r>
          </w:p>
        </w:tc>
      </w:tr>
      <w:tr>
        <w:tc>
          <w:tcPr>
            <w:tcW w:w="1701" w:type="dxa"/>
          </w:tcPr>
          <w:p>
            <w:pPr>
              <w:pStyle w:val="0"/>
              <w:jc w:val="center"/>
            </w:pPr>
            <w:r>
              <w:rPr>
                <w:sz w:val="20"/>
              </w:rPr>
            </w:r>
          </w:p>
        </w:tc>
        <w:tc>
          <w:tcPr>
            <w:tcW w:w="2835" w:type="dxa"/>
          </w:tcPr>
          <w:p>
            <w:pPr>
              <w:pStyle w:val="0"/>
              <w:jc w:val="center"/>
            </w:pPr>
            <w:r>
              <w:rPr>
                <w:sz w:val="20"/>
              </w:rPr>
            </w:r>
          </w:p>
        </w:tc>
        <w:tc>
          <w:tcPr>
            <w:tcW w:w="2551" w:type="dxa"/>
          </w:tcPr>
          <w:p>
            <w:pPr>
              <w:pStyle w:val="0"/>
              <w:jc w:val="center"/>
            </w:pPr>
            <w:r>
              <w:rPr>
                <w:sz w:val="20"/>
              </w:rPr>
            </w:r>
          </w:p>
        </w:tc>
        <w:tc>
          <w:tcPr>
            <w:tcW w:w="2551" w:type="dxa"/>
          </w:tcPr>
          <w:p>
            <w:pPr>
              <w:pStyle w:val="0"/>
              <w:jc w:val="center"/>
            </w:pPr>
            <w:r>
              <w:rPr>
                <w:sz w:val="20"/>
              </w:rPr>
            </w:r>
          </w:p>
        </w:tc>
      </w:tr>
    </w:tbl>
    <w:p>
      <w:pPr>
        <w:pStyle w:val="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Минэнерго России</w:t>
      </w:r>
    </w:p>
    <w:p>
      <w:pPr>
        <w:pStyle w:val="0"/>
        <w:jc w:val="right"/>
      </w:pPr>
      <w:r>
        <w:rPr>
          <w:sz w:val="20"/>
        </w:rPr>
        <w:t xml:space="preserve">от 10 августа 2012 г. N 377</w:t>
      </w:r>
    </w:p>
    <w:p>
      <w:pPr>
        <w:pStyle w:val="0"/>
        <w:ind w:firstLine="540"/>
        <w:jc w:val="both"/>
      </w:pPr>
      <w:r>
        <w:rPr>
          <w:sz w:val="20"/>
        </w:rPr>
      </w:r>
    </w:p>
    <w:bookmarkStart w:id="266" w:name="P266"/>
    <w:bookmarkEnd w:id="266"/>
    <w:p>
      <w:pPr>
        <w:pStyle w:val="2"/>
        <w:jc w:val="center"/>
      </w:pPr>
      <w:r>
        <w:rPr>
          <w:sz w:val="20"/>
        </w:rPr>
        <w:t xml:space="preserve">ИЗМЕНЕНИЯ,</w:t>
      </w:r>
    </w:p>
    <w:p>
      <w:pPr>
        <w:pStyle w:val="2"/>
        <w:jc w:val="center"/>
      </w:pPr>
      <w:r>
        <w:rPr>
          <w:sz w:val="20"/>
        </w:rPr>
        <w:t xml:space="preserve">КОТОРЫЕ ВНОСЯТСЯ В ПРИКАЗЫ МИНЭНЕРГО РОССИИ</w:t>
      </w:r>
    </w:p>
    <w:p>
      <w:pPr>
        <w:pStyle w:val="2"/>
        <w:jc w:val="center"/>
      </w:pPr>
      <w:r>
        <w:rPr>
          <w:sz w:val="20"/>
        </w:rPr>
        <w:t xml:space="preserve">ОТ 4 СЕНТЯБРЯ 2008 Г. N 66 "ОБ ОРГАНИЗАЦИИ В МИНИСТЕРСТВЕ</w:t>
      </w:r>
    </w:p>
    <w:p>
      <w:pPr>
        <w:pStyle w:val="2"/>
        <w:jc w:val="center"/>
      </w:pPr>
      <w:r>
        <w:rPr>
          <w:sz w:val="20"/>
        </w:rPr>
        <w:t xml:space="preserve">ЭНЕРГЕТИКИ РОССИЙСКОЙ ФЕДЕРАЦИИ РАБОТЫ ПО УТВЕРЖДЕНИЮ</w:t>
      </w:r>
    </w:p>
    <w:p>
      <w:pPr>
        <w:pStyle w:val="2"/>
        <w:jc w:val="center"/>
      </w:pPr>
      <w:r>
        <w:rPr>
          <w:sz w:val="20"/>
        </w:rPr>
        <w:t xml:space="preserve">НОРМАТИВОВ СОЗДАНИЯ ЗАПАСОВ ТОПЛИВА НА ТЕПЛОВЫХ</w:t>
      </w:r>
    </w:p>
    <w:p>
      <w:pPr>
        <w:pStyle w:val="2"/>
        <w:jc w:val="center"/>
      </w:pPr>
      <w:r>
        <w:rPr>
          <w:sz w:val="20"/>
        </w:rPr>
        <w:t xml:space="preserve">ЭЛЕКТРОСТАНЦИЯХ И КОТЕЛЬНЫХ", ОТ 30 ДЕКАБРЯ 2008 Г. N 323</w:t>
      </w:r>
    </w:p>
    <w:p>
      <w:pPr>
        <w:pStyle w:val="2"/>
        <w:jc w:val="center"/>
      </w:pPr>
      <w:r>
        <w:rPr>
          <w:sz w:val="20"/>
        </w:rPr>
        <w:t xml:space="preserve">"ОБ ОРГАНИЗАЦИИ В МИНИСТЕРСТВЕ ЭНЕРГЕТИКИ РОССИЙСКОЙ</w:t>
      </w:r>
    </w:p>
    <w:p>
      <w:pPr>
        <w:pStyle w:val="2"/>
        <w:jc w:val="center"/>
      </w:pPr>
      <w:r>
        <w:rPr>
          <w:sz w:val="20"/>
        </w:rPr>
        <w:t xml:space="preserve">ФЕДЕРАЦИИ РАБОТЫ ПО УТВЕРЖДЕНИЮ НОРМАТИВОВ УДЕЛЬНОГО</w:t>
      </w:r>
    </w:p>
    <w:p>
      <w:pPr>
        <w:pStyle w:val="2"/>
        <w:jc w:val="center"/>
      </w:pPr>
      <w:r>
        <w:rPr>
          <w:sz w:val="20"/>
        </w:rPr>
        <w:t xml:space="preserve">РАСХОДА ТОПЛИВА НА ОТПУЩЕННУЮ ЭЛЕКТРИЧЕСКУЮ И ТЕПЛОВУЮ</w:t>
      </w:r>
    </w:p>
    <w:p>
      <w:pPr>
        <w:pStyle w:val="2"/>
        <w:jc w:val="center"/>
      </w:pPr>
      <w:r>
        <w:rPr>
          <w:sz w:val="20"/>
        </w:rPr>
        <w:t xml:space="preserve">ЭНЕРГИЮ ОТ ТЕПЛОВЫХ ЭЛЕКТРИЧЕСКИХ СТАНЦИЙ И КОТЕЛЬНЫХ"</w:t>
      </w:r>
    </w:p>
    <w:p>
      <w:pPr>
        <w:pStyle w:val="2"/>
        <w:jc w:val="center"/>
      </w:pPr>
      <w:r>
        <w:rPr>
          <w:sz w:val="20"/>
        </w:rPr>
        <w:t xml:space="preserve">И ОТ 30 ДЕКАБРЯ 2008 Г. N 325 "ОБ ОРГАНИЗАЦИИ</w:t>
      </w:r>
    </w:p>
    <w:p>
      <w:pPr>
        <w:pStyle w:val="2"/>
        <w:jc w:val="center"/>
      </w:pPr>
      <w:r>
        <w:rPr>
          <w:sz w:val="20"/>
        </w:rPr>
        <w:t xml:space="preserve">В МИНИСТЕРСТВЕ ЭНЕРГЕТИКИ РОССИЙСКОЙ ФЕДЕРАЦИИ</w:t>
      </w:r>
    </w:p>
    <w:p>
      <w:pPr>
        <w:pStyle w:val="2"/>
        <w:jc w:val="center"/>
      </w:pPr>
      <w:r>
        <w:rPr>
          <w:sz w:val="20"/>
        </w:rPr>
        <w:t xml:space="preserve">РАБОТЫ ПО УТВЕРЖДЕНИЮ НОРМАТИВОВ ТЕХНОЛОГИЧЕСКИХ</w:t>
      </w:r>
    </w:p>
    <w:p>
      <w:pPr>
        <w:pStyle w:val="2"/>
        <w:jc w:val="center"/>
      </w:pPr>
      <w:r>
        <w:rPr>
          <w:sz w:val="20"/>
        </w:rPr>
        <w:t xml:space="preserve">ПОТЕРЬ ПРИ ПЕРЕДАЧЕ ТЕПЛОВОЙ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 w:tooltip="Приказ Минэнерго России от 22.08.2013 N 469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16.04.2014 N 31993) ------------ Утратил силу или отменен {КонсультантПлюс}">
              <w:r>
                <w:rPr>
                  <w:sz w:val="20"/>
                  <w:color w:val="0000ff"/>
                </w:rPr>
                <w:t xml:space="preserve">Приказа</w:t>
              </w:r>
            </w:hyperlink>
            <w:r>
              <w:rPr>
                <w:sz w:val="20"/>
                <w:color w:val="392c69"/>
              </w:rPr>
              <w:t xml:space="preserve"> Минэнерго России от 22.08.2013 N 469)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Утратил силу. - </w:t>
      </w:r>
      <w:hyperlink w:history="0" r:id="rId29" w:tooltip="Приказ Минэнерго России от 22.08.2013 N 469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16.04.2014 N 31993) ------------ Утратил силу или отменен {КонсультантПлюс}">
        <w:r>
          <w:rPr>
            <w:sz w:val="20"/>
            <w:color w:val="0000ff"/>
          </w:rPr>
          <w:t xml:space="preserve">Приказ</w:t>
        </w:r>
      </w:hyperlink>
      <w:r>
        <w:rPr>
          <w:sz w:val="20"/>
        </w:rPr>
        <w:t xml:space="preserve"> Минэнерго России от 22.08.2013 N 469.</w:t>
      </w:r>
    </w:p>
    <w:p>
      <w:pPr>
        <w:pStyle w:val="0"/>
        <w:spacing w:before="200" w:line-rule="auto"/>
        <w:ind w:firstLine="540"/>
        <w:jc w:val="both"/>
      </w:pPr>
      <w:r>
        <w:rPr>
          <w:sz w:val="20"/>
        </w:rPr>
        <w:t xml:space="preserve">2. В </w:t>
      </w:r>
      <w:hyperlink w:history="0" r:id="rId30"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приказе</w:t>
        </w:r>
      </w:hyperlink>
      <w:r>
        <w:rPr>
          <w:sz w:val="20"/>
        </w:rPr>
        <w:t xml:space="preserve"> Минэнерго России от 30 сентября 2008 г. N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(зарегистрирован Минюстом России 16 марта 2009 г., регистрационный N 13512) (далее - приказ):</w:t>
      </w:r>
    </w:p>
    <w:p>
      <w:pPr>
        <w:pStyle w:val="0"/>
        <w:spacing w:before="200" w:line-rule="auto"/>
        <w:ind w:firstLine="540"/>
        <w:jc w:val="both"/>
      </w:pPr>
      <w:r>
        <w:rPr>
          <w:sz w:val="20"/>
        </w:rPr>
        <w:t xml:space="preserve">а) </w:t>
      </w:r>
      <w:hyperlink w:history="0" r:id="rId31"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"Об утверждении порядка определения нормативов удельного расхода топлива при производстве электрической и тепловой энергии";</w:t>
      </w:r>
    </w:p>
    <w:p>
      <w:pPr>
        <w:pStyle w:val="0"/>
        <w:spacing w:before="200" w:line-rule="auto"/>
        <w:ind w:firstLine="540"/>
        <w:jc w:val="both"/>
      </w:pPr>
      <w:r>
        <w:rPr>
          <w:sz w:val="20"/>
        </w:rPr>
        <w:t xml:space="preserve">б) в </w:t>
      </w:r>
      <w:hyperlink w:history="0" r:id="rId32"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преамбуле</w:t>
        </w:r>
      </w:hyperlink>
      <w:r>
        <w:rPr>
          <w:sz w:val="20"/>
        </w:rPr>
        <w:t xml:space="preserve">:</w:t>
      </w:r>
    </w:p>
    <w:p>
      <w:pPr>
        <w:pStyle w:val="0"/>
        <w:spacing w:before="200" w:line-rule="auto"/>
        <w:ind w:firstLine="540"/>
        <w:jc w:val="both"/>
      </w:pPr>
      <w:r>
        <w:rPr>
          <w:sz w:val="20"/>
        </w:rPr>
        <w:t xml:space="preserve">цифры "4.2.2" заменить цифрами </w:t>
      </w:r>
      <w:hyperlink w:history="0" r:id="rId33" w:tooltip="Постановление Правительства РФ от 28.05.2008 N 400 (ред. от 17.10.2024) &quot;О Министерстве энергетики Российской Федерации&quot; {КонсультантПлюс}">
        <w:r>
          <w:rPr>
            <w:sz w:val="20"/>
            <w:color w:val="0000ff"/>
          </w:rPr>
          <w:t xml:space="preserve">"4.2.14.8"</w:t>
        </w:r>
      </w:hyperlink>
      <w:r>
        <w:rPr>
          <w:sz w:val="20"/>
        </w:rPr>
        <w:t xml:space="preserve">;</w:t>
      </w:r>
    </w:p>
    <w:p>
      <w:pPr>
        <w:pStyle w:val="0"/>
        <w:spacing w:before="200" w:line-rule="auto"/>
        <w:ind w:firstLine="540"/>
        <w:jc w:val="both"/>
      </w:pPr>
      <w:r>
        <w:rPr>
          <w:sz w:val="20"/>
        </w:rPr>
        <w:t xml:space="preserve">слова "(Собрание законодательства Российской Федерации, 2008, N 22, ст. 2577; N 42, ст. 4825; N 46, ст. 5337)" заменить словами "(Собрание законодательства Российской Федерации, 2008, N 22, ст. 2577; 2011, N 44, ст. 6269)";</w:t>
      </w:r>
    </w:p>
    <w:p>
      <w:pPr>
        <w:pStyle w:val="0"/>
        <w:spacing w:before="200" w:line-rule="auto"/>
        <w:ind w:firstLine="540"/>
        <w:jc w:val="both"/>
      </w:pPr>
      <w:r>
        <w:rPr>
          <w:sz w:val="20"/>
        </w:rPr>
        <w:t xml:space="preserve">в) </w:t>
      </w:r>
      <w:hyperlink w:history="0" r:id="rId34"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Утвердить прилагаемый порядок определения нормативов удельного расхода топлива при производстве электрической и тепловой энергии.";</w:t>
      </w:r>
    </w:p>
    <w:p>
      <w:pPr>
        <w:pStyle w:val="0"/>
        <w:spacing w:before="200" w:line-rule="auto"/>
        <w:ind w:firstLine="540"/>
        <w:jc w:val="both"/>
      </w:pPr>
      <w:r>
        <w:rPr>
          <w:sz w:val="20"/>
        </w:rPr>
        <w:t xml:space="preserve">г) в </w:t>
      </w:r>
      <w:hyperlink w:history="0" r:id="rId35"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Инструкции</w:t>
        </w:r>
      </w:hyperlink>
      <w:r>
        <w:rPr>
          <w:sz w:val="20"/>
        </w:rPr>
        <w:t xml:space="preserve">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 утвержденной указанным приказом (далее - Инструкция):</w:t>
      </w:r>
    </w:p>
    <w:p>
      <w:pPr>
        <w:pStyle w:val="0"/>
        <w:spacing w:before="200" w:line-rule="auto"/>
        <w:ind w:firstLine="540"/>
        <w:jc w:val="both"/>
      </w:pPr>
      <w:hyperlink w:history="0" r:id="rId36"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"Порядок определения нормативов удельного расхода топлива при производстве электрической и тепловой энергии";</w:t>
      </w:r>
    </w:p>
    <w:p>
      <w:pPr>
        <w:pStyle w:val="0"/>
        <w:spacing w:before="200" w:line-rule="auto"/>
        <w:ind w:firstLine="540"/>
        <w:jc w:val="both"/>
      </w:pPr>
      <w:r>
        <w:rPr>
          <w:sz w:val="20"/>
        </w:rPr>
        <w:t xml:space="preserve">по </w:t>
      </w:r>
      <w:hyperlink w:history="0" r:id="rId37"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тексту</w:t>
        </w:r>
      </w:hyperlink>
      <w:r>
        <w:rPr>
          <w:sz w:val="20"/>
        </w:rPr>
        <w:t xml:space="preserve">:</w:t>
      </w:r>
    </w:p>
    <w:p>
      <w:pPr>
        <w:pStyle w:val="0"/>
        <w:spacing w:before="200" w:line-rule="auto"/>
        <w:ind w:firstLine="540"/>
        <w:jc w:val="both"/>
      </w:pPr>
      <w:r>
        <w:rPr>
          <w:sz w:val="20"/>
        </w:rPr>
        <w:t xml:space="preserve">слово "Инструкция" в соответствующем падеже заменить словом "порядок" в соответствующем падеже;</w:t>
      </w:r>
    </w:p>
    <w:p>
      <w:pPr>
        <w:pStyle w:val="0"/>
        <w:spacing w:before="200" w:line-rule="auto"/>
        <w:ind w:firstLine="540"/>
        <w:jc w:val="both"/>
      </w:pPr>
      <w:r>
        <w:rPr>
          <w:sz w:val="20"/>
        </w:rPr>
        <w:t xml:space="preserve">в </w:t>
      </w:r>
      <w:hyperlink w:history="0" r:id="rId38"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пункте 3</w:t>
        </w:r>
      </w:hyperlink>
      <w:r>
        <w:rPr>
          <w:sz w:val="20"/>
        </w:rPr>
        <w:t xml:space="preserve"> после слов "на одну гигакалорию (кг у.т./Гкал)" дополнить словами "с дифференциацией по месяцам";</w:t>
      </w:r>
    </w:p>
    <w:p>
      <w:pPr>
        <w:pStyle w:val="0"/>
        <w:spacing w:before="200" w:line-rule="auto"/>
        <w:ind w:firstLine="540"/>
        <w:jc w:val="both"/>
      </w:pPr>
      <w:r>
        <w:rPr>
          <w:sz w:val="20"/>
        </w:rPr>
        <w:t xml:space="preserve">д) в </w:t>
      </w:r>
      <w:hyperlink w:history="0" r:id="rId39"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приложениях N 1</w:t>
        </w:r>
      </w:hyperlink>
      <w:r>
        <w:rPr>
          <w:sz w:val="20"/>
        </w:rPr>
        <w:t xml:space="preserve"> - </w:t>
      </w:r>
      <w:hyperlink w:history="0" r:id="rId40" w:tooltip="Приказ Минэнерго России от 30.12.2008 N 323 &quo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quot; (вместе с &quot;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quot;) (Зарегистрировано в Минюсте Рос ------------ Недействующая редакция {КонсультантПлюс}">
        <w:r>
          <w:rPr>
            <w:sz w:val="20"/>
            <w:color w:val="0000ff"/>
          </w:rPr>
          <w:t xml:space="preserve">14</w:t>
        </w:r>
      </w:hyperlink>
      <w:r>
        <w:rPr>
          <w:sz w:val="20"/>
        </w:rPr>
        <w:t xml:space="preserve"> к Инструкции:</w:t>
      </w:r>
    </w:p>
    <w:p>
      <w:pPr>
        <w:pStyle w:val="0"/>
        <w:spacing w:before="200" w:line-rule="auto"/>
        <w:ind w:firstLine="540"/>
        <w:jc w:val="both"/>
      </w:pPr>
      <w:r>
        <w:rPr>
          <w:sz w:val="20"/>
        </w:rPr>
        <w:t xml:space="preserve">в нумерационных заголовках слова "к Инструкции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и электрических станций и котельных" заменить словами "к порядку определения нормативов удельного расхода топлива при производстве электрической и тепловой энергии".</w:t>
      </w:r>
    </w:p>
    <w:p>
      <w:pPr>
        <w:pStyle w:val="0"/>
        <w:spacing w:before="200" w:line-rule="auto"/>
        <w:ind w:firstLine="540"/>
        <w:jc w:val="both"/>
      </w:pPr>
      <w:r>
        <w:rPr>
          <w:sz w:val="20"/>
        </w:rPr>
        <w:t xml:space="preserve">3. В </w:t>
      </w:r>
      <w:hyperlink w:history="0" r:id="rId41"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приказе</w:t>
        </w:r>
      </w:hyperlink>
      <w:r>
        <w:rPr>
          <w:sz w:val="20"/>
        </w:rPr>
        <w:t xml:space="preserve"> Минэнерго России от 30 декабря 2008 г. N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(зарегистрирован Минюстом России 16 марта 2009 г., регистрационный N 13513) (в редакции приказа Минэнерго России от 1 февраля 2010 г. N 36 "О внесении изменений в приказы Минэнерго России от 30.12.2008 N 325 и от 30.12.2008 N 326" (зарегистрирован Минюстом России 27 февраля 2010 г., регистрационный N 16520)) (далее - приказ):</w:t>
      </w:r>
    </w:p>
    <w:p>
      <w:pPr>
        <w:pStyle w:val="0"/>
        <w:spacing w:before="200" w:line-rule="auto"/>
        <w:ind w:firstLine="540"/>
        <w:jc w:val="both"/>
      </w:pPr>
      <w:r>
        <w:rPr>
          <w:sz w:val="20"/>
        </w:rPr>
        <w:t xml:space="preserve">а) </w:t>
      </w:r>
      <w:hyperlink w:history="0" r:id="rId42"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"Об утверждении порядка определения нормативов технологических потерь при передаче тепловой энергии, теплоносителя";</w:t>
      </w:r>
    </w:p>
    <w:p>
      <w:pPr>
        <w:pStyle w:val="0"/>
        <w:spacing w:before="200" w:line-rule="auto"/>
        <w:ind w:firstLine="540"/>
        <w:jc w:val="both"/>
      </w:pPr>
      <w:r>
        <w:rPr>
          <w:sz w:val="20"/>
        </w:rPr>
        <w:t xml:space="preserve">б) в </w:t>
      </w:r>
      <w:hyperlink w:history="0" r:id="rId43"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преамбуле</w:t>
        </w:r>
      </w:hyperlink>
      <w:r>
        <w:rPr>
          <w:sz w:val="20"/>
        </w:rPr>
        <w:t xml:space="preserve">:</w:t>
      </w:r>
    </w:p>
    <w:p>
      <w:pPr>
        <w:pStyle w:val="0"/>
        <w:spacing w:before="200" w:line-rule="auto"/>
        <w:ind w:firstLine="540"/>
        <w:jc w:val="both"/>
      </w:pPr>
      <w:r>
        <w:rPr>
          <w:sz w:val="20"/>
        </w:rPr>
        <w:t xml:space="preserve">цифры "4.2.4" заменить цифрами </w:t>
      </w:r>
      <w:hyperlink w:history="0" r:id="rId44" w:tooltip="Постановление Правительства РФ от 28.05.2008 N 400 (ред. от 17.10.2024) &quot;О Министерстве энергетики Российской Федерации&quot; {КонсультантПлюс}">
        <w:r>
          <w:rPr>
            <w:sz w:val="20"/>
            <w:color w:val="0000ff"/>
          </w:rPr>
          <w:t xml:space="preserve">"4.2.14.8"</w:t>
        </w:r>
      </w:hyperlink>
      <w:r>
        <w:rPr>
          <w:sz w:val="20"/>
        </w:rPr>
        <w:t xml:space="preserve">;</w:t>
      </w:r>
    </w:p>
    <w:p>
      <w:pPr>
        <w:pStyle w:val="0"/>
        <w:spacing w:before="200" w:line-rule="auto"/>
        <w:ind w:firstLine="540"/>
        <w:jc w:val="both"/>
      </w:pPr>
      <w:r>
        <w:rPr>
          <w:sz w:val="20"/>
        </w:rPr>
        <w:t xml:space="preserve">слова "(Собрание законодательства Российской Федерации, 2008, N 22, ст. 2577; N 42, ст. 4825; N 46, ст. 5337)" заменить словами "(Собрание законодательства Российской Федерации, 2008, N 22, ст. 2577; 2011, N 44, ст. 6269)";</w:t>
      </w:r>
    </w:p>
    <w:p>
      <w:pPr>
        <w:pStyle w:val="0"/>
        <w:spacing w:before="200" w:line-rule="auto"/>
        <w:ind w:firstLine="540"/>
        <w:jc w:val="both"/>
      </w:pPr>
      <w:r>
        <w:rPr>
          <w:sz w:val="20"/>
        </w:rPr>
        <w:t xml:space="preserve">в) </w:t>
      </w:r>
      <w:hyperlink w:history="0" r:id="rId45"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Утвердить прилагаемый порядок определения нормативов технологических потерь при передаче тепловой энергии, теплоносителя.";</w:t>
      </w:r>
    </w:p>
    <w:p>
      <w:pPr>
        <w:pStyle w:val="0"/>
        <w:spacing w:before="200" w:line-rule="auto"/>
        <w:ind w:firstLine="540"/>
        <w:jc w:val="both"/>
      </w:pPr>
      <w:r>
        <w:rPr>
          <w:sz w:val="20"/>
        </w:rPr>
        <w:t xml:space="preserve">г) в </w:t>
      </w:r>
      <w:hyperlink w:history="0" r:id="rId46"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Инструкции</w:t>
        </w:r>
      </w:hyperlink>
      <w:r>
        <w:rPr>
          <w:sz w:val="20"/>
        </w:rPr>
        <w:t xml:space="preserve"> по организации в Минэнерго России работы по расчету и обоснованию нормативов технологических потерь при передаче тепловой энергии, теплоносителя, утвержденной указанным приказом (далее - Инструкция):</w:t>
      </w:r>
    </w:p>
    <w:p>
      <w:pPr>
        <w:pStyle w:val="0"/>
        <w:spacing w:before="200" w:line-rule="auto"/>
        <w:ind w:firstLine="540"/>
        <w:jc w:val="both"/>
      </w:pPr>
      <w:hyperlink w:history="0" r:id="rId47"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"Порядок определения нормативов технологических потерь при передаче тепловой энергии, теплоносителя";</w:t>
      </w:r>
    </w:p>
    <w:p>
      <w:pPr>
        <w:pStyle w:val="0"/>
        <w:spacing w:before="200" w:line-rule="auto"/>
        <w:ind w:firstLine="540"/>
        <w:jc w:val="both"/>
      </w:pPr>
      <w:hyperlink w:history="0" r:id="rId48"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абзацы первый</w:t>
        </w:r>
      </w:hyperlink>
      <w:r>
        <w:rPr>
          <w:sz w:val="20"/>
        </w:rPr>
        <w:t xml:space="preserve"> и </w:t>
      </w:r>
      <w:hyperlink w:history="0" r:id="rId49"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второй пункта 1</w:t>
        </w:r>
      </w:hyperlink>
      <w:r>
        <w:rPr>
          <w:sz w:val="20"/>
        </w:rPr>
        <w:t xml:space="preserve"> изложить в следующей редакции:</w:t>
      </w:r>
    </w:p>
    <w:p>
      <w:pPr>
        <w:pStyle w:val="0"/>
        <w:spacing w:before="200" w:line-rule="auto"/>
        <w:ind w:firstLine="540"/>
        <w:jc w:val="both"/>
      </w:pPr>
      <w:r>
        <w:rPr>
          <w:sz w:val="20"/>
        </w:rPr>
        <w:t xml:space="preserve">"1. Нормативы технологических потерь при передаче тепловой энергии, теплоносителя (далее - нормативы технологических потерь) определяются для каждой организации, эксплуатирующей тепловые сети для передачи тепловой энергии, теплоносителя потребителям (далее - теплосетевая организация). Определение нормативов технологических потерь осуществляется выполнением расчетов нормативов для тепловой сети каждой системы теплоснабжения независимо от присоединенной к ней расчетной часовой тепловой нагрузки.</w:t>
      </w:r>
    </w:p>
    <w:p>
      <w:pPr>
        <w:pStyle w:val="0"/>
        <w:spacing w:before="200" w:line-rule="auto"/>
        <w:ind w:firstLine="540"/>
        <w:jc w:val="both"/>
      </w:pPr>
      <w:r>
        <w:rPr>
          <w:sz w:val="20"/>
        </w:rPr>
        <w:t xml:space="preserve">Нормативы технологических потерь при передаче тепловой энергии, теплоносителя по тепловым сетям организаций, для которых передача тепловой энергии не является основным видом деятельности (далее - предприятия), оказывающим услуги по передаче тепловой энергии сторонним потребителям, подключенным к тепловым сетям предприятия, утверждаются в части, относящейся к сторонним потребителям. При этом технологические потери при передаче тепловой энергии для собственного потребления предприятия из указанных нормативов исключаются.";</w:t>
      </w:r>
    </w:p>
    <w:p>
      <w:pPr>
        <w:pStyle w:val="0"/>
        <w:spacing w:before="200" w:line-rule="auto"/>
        <w:ind w:firstLine="540"/>
        <w:jc w:val="both"/>
      </w:pPr>
      <w:r>
        <w:rPr>
          <w:sz w:val="20"/>
        </w:rPr>
        <w:t xml:space="preserve">по </w:t>
      </w:r>
      <w:hyperlink w:history="0" r:id="rId50"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тексту</w:t>
        </w:r>
      </w:hyperlink>
      <w:r>
        <w:rPr>
          <w:sz w:val="20"/>
        </w:rPr>
        <w:t xml:space="preserve"> слово "Инструкция" в соответствующем падеже заменить словом "порядок" в соответствующем падеже;</w:t>
      </w:r>
    </w:p>
    <w:p>
      <w:pPr>
        <w:pStyle w:val="0"/>
        <w:spacing w:before="200" w:line-rule="auto"/>
        <w:ind w:firstLine="540"/>
        <w:jc w:val="both"/>
      </w:pPr>
      <w:r>
        <w:rPr>
          <w:sz w:val="20"/>
        </w:rPr>
        <w:t xml:space="preserve">в </w:t>
      </w:r>
      <w:hyperlink w:history="0" r:id="rId51"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пунктах 1</w:t>
        </w:r>
      </w:hyperlink>
      <w:r>
        <w:rPr>
          <w:sz w:val="20"/>
        </w:rPr>
        <w:t xml:space="preserve"> и </w:t>
      </w:r>
      <w:hyperlink w:history="0" r:id="rId52"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4</w:t>
        </w:r>
      </w:hyperlink>
      <w:r>
        <w:rPr>
          <w:sz w:val="20"/>
        </w:rPr>
        <w:t xml:space="preserve"> - </w:t>
      </w:r>
      <w:hyperlink w:history="0" r:id="rId53"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9</w:t>
        </w:r>
      </w:hyperlink>
      <w:r>
        <w:rPr>
          <w:sz w:val="20"/>
        </w:rPr>
        <w:t xml:space="preserve"> слова "при передаче тепловой энергии" исключить;</w:t>
      </w:r>
    </w:p>
    <w:p>
      <w:pPr>
        <w:pStyle w:val="0"/>
        <w:spacing w:before="200" w:line-rule="auto"/>
        <w:ind w:firstLine="540"/>
        <w:jc w:val="both"/>
      </w:pPr>
      <w:r>
        <w:rPr>
          <w:sz w:val="20"/>
        </w:rPr>
        <w:t xml:space="preserve">в </w:t>
      </w:r>
      <w:hyperlink w:history="0" r:id="rId54"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пункте 11.6</w:t>
        </w:r>
      </w:hyperlink>
      <w:r>
        <w:rPr>
          <w:sz w:val="20"/>
        </w:rPr>
        <w:t xml:space="preserve"> слова "с Инструкцией по организации в Минэнерго России работы по расчету и обоснованию нормативов удельных расходов топлива на отпущенную электрическую и тепловую энергию от тепловых электростанций и котельных" заменить словами "с порядком определения нормативов удельного расхода топлива при производстве тепловой и электрической энергии";</w:t>
      </w:r>
    </w:p>
    <w:p>
      <w:pPr>
        <w:pStyle w:val="0"/>
        <w:spacing w:before="200" w:line-rule="auto"/>
        <w:ind w:firstLine="540"/>
        <w:jc w:val="both"/>
      </w:pPr>
      <w:r>
        <w:rPr>
          <w:sz w:val="20"/>
        </w:rPr>
        <w:t xml:space="preserve">д) в нумерационных заголовках </w:t>
      </w:r>
      <w:hyperlink w:history="0" r:id="rId55"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приложений N 1</w:t>
        </w:r>
      </w:hyperlink>
      <w:r>
        <w:rPr>
          <w:sz w:val="20"/>
        </w:rPr>
        <w:t xml:space="preserve"> - </w:t>
      </w:r>
      <w:hyperlink w:history="0" r:id="rId56" w:tooltip="Приказ Минэнерго РФ от 30.12.2008 N 325 (ред. от 01.02.2010) &quot;Об организации в Министерстве энергетики Российской Федерации работы по утверждению нормативов технологических потерь при передаче тепловой энергии&quot; (вместе с &quot;Инструкцией по организации в Минэнерго России работы по расчету и обоснованию нормативов технологических потерь при передаче тепловой энергии&quot;) (Зарегистрировано в Минюсте РФ 16.03.2009 N 13513) ------------ Недействующая редакция {КонсультантПлюс}">
        <w:r>
          <w:rPr>
            <w:sz w:val="20"/>
            <w:color w:val="0000ff"/>
          </w:rPr>
          <w:t xml:space="preserve">14</w:t>
        </w:r>
      </w:hyperlink>
      <w:r>
        <w:rPr>
          <w:sz w:val="20"/>
        </w:rPr>
        <w:t xml:space="preserve"> к Инструкции слова "к Инструкции по организации в Минэнерго России работы по расчету и обоснованию нормативов технологических потерь при передаче тепловой энергии" заменить словами "к порядку определения нормативов технологических потерь при передаче тепловой энергии, теплоносителя".</w:t>
      </w:r>
    </w:p>
    <w:p>
      <w:pPr>
        <w:pStyle w:val="0"/>
        <w:jc w:val="center"/>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России от 10.08.2012 N 377</w:t>
            <w:br/>
            <w:t>(ред. от 22.08.2013)</w:t>
            <w:br/>
            <w:t>"О порядке определения нормативов технологических потер...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1997&amp;dst=100009" TargetMode = "External"/>
	<Relationship Id="rId8" Type="http://schemas.openxmlformats.org/officeDocument/2006/relationships/hyperlink" Target="https://login.consultant.ru/link/?req=doc&amp;base=LAW&amp;n=482877&amp;dst=100082" TargetMode = "External"/>
	<Relationship Id="rId9" Type="http://schemas.openxmlformats.org/officeDocument/2006/relationships/hyperlink" Target="https://login.consultant.ru/link/?req=doc&amp;base=LAW&amp;n=488452&amp;dst=13" TargetMode = "External"/>
	<Relationship Id="rId10" Type="http://schemas.openxmlformats.org/officeDocument/2006/relationships/hyperlink" Target="https://login.consultant.ru/link/?req=doc&amp;base=LAW&amp;n=82153" TargetMode = "External"/>
	<Relationship Id="rId11" Type="http://schemas.openxmlformats.org/officeDocument/2006/relationships/hyperlink" Target="https://login.consultant.ru/link/?req=doc&amp;base=LAW&amp;n=86464" TargetMode = "External"/>
	<Relationship Id="rId12" Type="http://schemas.openxmlformats.org/officeDocument/2006/relationships/hyperlink" Target="https://login.consultant.ru/link/?req=doc&amp;base=LAW&amp;n=98061" TargetMode = "External"/>
	<Relationship Id="rId13" Type="http://schemas.openxmlformats.org/officeDocument/2006/relationships/image" Target="media/image2.wmf"/>
	<Relationship Id="rId14" Type="http://schemas.openxmlformats.org/officeDocument/2006/relationships/image" Target="media/image3.wmf"/>
	<Relationship Id="rId15" Type="http://schemas.openxmlformats.org/officeDocument/2006/relationships/image" Target="media/image4.wmf"/>
	<Relationship Id="rId16" Type="http://schemas.openxmlformats.org/officeDocument/2006/relationships/image" Target="media/image5.wmf"/>
	<Relationship Id="rId17" Type="http://schemas.openxmlformats.org/officeDocument/2006/relationships/image" Target="media/image6.wmf"/>
	<Relationship Id="rId18" Type="http://schemas.openxmlformats.org/officeDocument/2006/relationships/image" Target="media/image7.wmf"/>
	<Relationship Id="rId19" Type="http://schemas.openxmlformats.org/officeDocument/2006/relationships/image" Target="media/image8.wmf"/>
	<Relationship Id="rId20" Type="http://schemas.openxmlformats.org/officeDocument/2006/relationships/image" Target="media/image9.wmf"/>
	<Relationship Id="rId21" Type="http://schemas.openxmlformats.org/officeDocument/2006/relationships/image" Target="media/image10.wmf"/>
	<Relationship Id="rId22" Type="http://schemas.openxmlformats.org/officeDocument/2006/relationships/image" Target="media/image11.wmf"/>
	<Relationship Id="rId23" Type="http://schemas.openxmlformats.org/officeDocument/2006/relationships/image" Target="media/image12.wmf"/>
	<Relationship Id="rId24" Type="http://schemas.openxmlformats.org/officeDocument/2006/relationships/image" Target="media/image13.wmf"/>
	<Relationship Id="rId25" Type="http://schemas.openxmlformats.org/officeDocument/2006/relationships/image" Target="media/image14.wmf"/>
	<Relationship Id="rId26" Type="http://schemas.openxmlformats.org/officeDocument/2006/relationships/image" Target="media/image15.wmf"/>
	<Relationship Id="rId27" Type="http://schemas.openxmlformats.org/officeDocument/2006/relationships/image" Target="media/image16.wmf"/>
	<Relationship Id="rId28" Type="http://schemas.openxmlformats.org/officeDocument/2006/relationships/hyperlink" Target="https://login.consultant.ru/link/?req=doc&amp;base=LAW&amp;n=161997&amp;dst=100009" TargetMode = "External"/>
	<Relationship Id="rId29" Type="http://schemas.openxmlformats.org/officeDocument/2006/relationships/hyperlink" Target="https://login.consultant.ru/link/?req=doc&amp;base=LAW&amp;n=161997&amp;dst=100009" TargetMode = "External"/>
	<Relationship Id="rId30" Type="http://schemas.openxmlformats.org/officeDocument/2006/relationships/hyperlink" Target="https://login.consultant.ru/link/?req=doc&amp;base=LAW&amp;n=86464" TargetMode = "External"/>
	<Relationship Id="rId31" Type="http://schemas.openxmlformats.org/officeDocument/2006/relationships/hyperlink" Target="https://login.consultant.ru/link/?req=doc&amp;base=LAW&amp;n=86464&amp;dst=100004" TargetMode = "External"/>
	<Relationship Id="rId32" Type="http://schemas.openxmlformats.org/officeDocument/2006/relationships/hyperlink" Target="https://login.consultant.ru/link/?req=doc&amp;base=LAW&amp;n=86464&amp;dst=100005" TargetMode = "External"/>
	<Relationship Id="rId33" Type="http://schemas.openxmlformats.org/officeDocument/2006/relationships/hyperlink" Target="https://login.consultant.ru/link/?req=doc&amp;base=LAW&amp;n=488452&amp;dst=13" TargetMode = "External"/>
	<Relationship Id="rId34" Type="http://schemas.openxmlformats.org/officeDocument/2006/relationships/hyperlink" Target="https://login.consultant.ru/link/?req=doc&amp;base=LAW&amp;n=86464&amp;dst=100006" TargetMode = "External"/>
	<Relationship Id="rId35" Type="http://schemas.openxmlformats.org/officeDocument/2006/relationships/hyperlink" Target="https://login.consultant.ru/link/?req=doc&amp;base=LAW&amp;n=86464&amp;dst=100011" TargetMode = "External"/>
	<Relationship Id="rId36" Type="http://schemas.openxmlformats.org/officeDocument/2006/relationships/hyperlink" Target="https://login.consultant.ru/link/?req=doc&amp;base=LAW&amp;n=86464&amp;dst=100011" TargetMode = "External"/>
	<Relationship Id="rId37" Type="http://schemas.openxmlformats.org/officeDocument/2006/relationships/hyperlink" Target="https://login.consultant.ru/link/?req=doc&amp;base=LAW&amp;n=86464&amp;dst=100011" TargetMode = "External"/>
	<Relationship Id="rId38" Type="http://schemas.openxmlformats.org/officeDocument/2006/relationships/hyperlink" Target="https://login.consultant.ru/link/?req=doc&amp;base=LAW&amp;n=86464&amp;dst=100018" TargetMode = "External"/>
	<Relationship Id="rId39" Type="http://schemas.openxmlformats.org/officeDocument/2006/relationships/hyperlink" Target="https://login.consultant.ru/link/?req=doc&amp;base=LAW&amp;n=86464&amp;dst=100968" TargetMode = "External"/>
	<Relationship Id="rId40" Type="http://schemas.openxmlformats.org/officeDocument/2006/relationships/hyperlink" Target="https://login.consultant.ru/link/?req=doc&amp;base=LAW&amp;n=86464&amp;dst=101104" TargetMode = "External"/>
	<Relationship Id="rId41" Type="http://schemas.openxmlformats.org/officeDocument/2006/relationships/hyperlink" Target="https://login.consultant.ru/link/?req=doc&amp;base=LAW&amp;n=98061" TargetMode = "External"/>
	<Relationship Id="rId42" Type="http://schemas.openxmlformats.org/officeDocument/2006/relationships/hyperlink" Target="https://login.consultant.ru/link/?req=doc&amp;base=LAW&amp;n=98061&amp;dst=100004" TargetMode = "External"/>
	<Relationship Id="rId43" Type="http://schemas.openxmlformats.org/officeDocument/2006/relationships/hyperlink" Target="https://login.consultant.ru/link/?req=doc&amp;base=LAW&amp;n=98061&amp;dst=100005" TargetMode = "External"/>
	<Relationship Id="rId44" Type="http://schemas.openxmlformats.org/officeDocument/2006/relationships/hyperlink" Target="https://login.consultant.ru/link/?req=doc&amp;base=LAW&amp;n=488452&amp;dst=13" TargetMode = "External"/>
	<Relationship Id="rId45" Type="http://schemas.openxmlformats.org/officeDocument/2006/relationships/hyperlink" Target="https://login.consultant.ru/link/?req=doc&amp;base=LAW&amp;n=98061&amp;dst=100006" TargetMode = "External"/>
	<Relationship Id="rId46" Type="http://schemas.openxmlformats.org/officeDocument/2006/relationships/hyperlink" Target="https://login.consultant.ru/link/?req=doc&amp;base=LAW&amp;n=98061&amp;dst=100011" TargetMode = "External"/>
	<Relationship Id="rId47" Type="http://schemas.openxmlformats.org/officeDocument/2006/relationships/hyperlink" Target="https://login.consultant.ru/link/?req=doc&amp;base=LAW&amp;n=98061&amp;dst=100011" TargetMode = "External"/>
	<Relationship Id="rId48" Type="http://schemas.openxmlformats.org/officeDocument/2006/relationships/hyperlink" Target="https://login.consultant.ru/link/?req=doc&amp;base=LAW&amp;n=98061&amp;dst=100013" TargetMode = "External"/>
	<Relationship Id="rId49" Type="http://schemas.openxmlformats.org/officeDocument/2006/relationships/hyperlink" Target="https://login.consultant.ru/link/?req=doc&amp;base=LAW&amp;n=98061&amp;dst=100014" TargetMode = "External"/>
	<Relationship Id="rId50" Type="http://schemas.openxmlformats.org/officeDocument/2006/relationships/hyperlink" Target="https://login.consultant.ru/link/?req=doc&amp;base=LAW&amp;n=98061&amp;dst=100011" TargetMode = "External"/>
	<Relationship Id="rId51" Type="http://schemas.openxmlformats.org/officeDocument/2006/relationships/hyperlink" Target="https://login.consultant.ru/link/?req=doc&amp;base=LAW&amp;n=98061&amp;dst=100013" TargetMode = "External"/>
	<Relationship Id="rId52" Type="http://schemas.openxmlformats.org/officeDocument/2006/relationships/hyperlink" Target="https://login.consultant.ru/link/?req=doc&amp;base=LAW&amp;n=98061&amp;dst=100025" TargetMode = "External"/>
	<Relationship Id="rId53" Type="http://schemas.openxmlformats.org/officeDocument/2006/relationships/hyperlink" Target="https://login.consultant.ru/link/?req=doc&amp;base=LAW&amp;n=98061&amp;dst=100050" TargetMode = "External"/>
	<Relationship Id="rId54" Type="http://schemas.openxmlformats.org/officeDocument/2006/relationships/hyperlink" Target="https://login.consultant.ru/link/?req=doc&amp;base=LAW&amp;n=98061&amp;dst=100207" TargetMode = "External"/>
	<Relationship Id="rId55" Type="http://schemas.openxmlformats.org/officeDocument/2006/relationships/hyperlink" Target="https://login.consultant.ru/link/?req=doc&amp;base=LAW&amp;n=98061&amp;dst=100354" TargetMode = "External"/>
	<Relationship Id="rId56" Type="http://schemas.openxmlformats.org/officeDocument/2006/relationships/hyperlink" Target="https://login.consultant.ru/link/?req=doc&amp;base=LAW&amp;n=98061&amp;dst=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10.08.2012 N 377
(ред. от 22.08.2013)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dc:title>
  <dcterms:created xsi:type="dcterms:W3CDTF">2024-12-09T06:26:22Z</dcterms:created>
</cp:coreProperties>
</file>